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5563" w14:textId="77777777"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5D768B57" w14:textId="77777777" w:rsidR="00F976C5" w:rsidRDefault="00F976C5" w:rsidP="001A661C">
      <w:pPr>
        <w:shd w:val="clear" w:color="auto" w:fill="FFFFFF"/>
        <w:spacing w:before="100" w:beforeAutospacing="1"/>
        <w:jc w:val="center"/>
        <w:rPr>
          <w:rFonts w:ascii="Times New Roman" w:hAnsi="Times New Roman"/>
          <w:b/>
          <w:sz w:val="28"/>
        </w:rPr>
      </w:pPr>
    </w:p>
    <w:p w14:paraId="6F4A17F4" w14:textId="38B475D2" w:rsidR="00963D7C" w:rsidRPr="00AF7FB7" w:rsidRDefault="00963D7C" w:rsidP="00963D7C">
      <w:pPr>
        <w:tabs>
          <w:tab w:val="right" w:pos="14459"/>
        </w:tabs>
        <w:jc w:val="both"/>
        <w:outlineLvl w:val="0"/>
        <w:rPr>
          <w:rFonts w:ascii="Times New Roman" w:hAnsi="Times New Roman"/>
          <w:b/>
          <w:sz w:val="24"/>
          <w:szCs w:val="24"/>
        </w:rPr>
      </w:pPr>
      <w:r w:rsidRPr="00AF7FB7">
        <w:rPr>
          <w:rFonts w:ascii="Times New Roman" w:hAnsi="Times New Roman"/>
          <w:b/>
          <w:sz w:val="24"/>
          <w:szCs w:val="24"/>
        </w:rPr>
        <w:t>Contract title: Supply of “</w:t>
      </w:r>
      <w:r>
        <w:rPr>
          <w:rFonts w:ascii="Times New Roman" w:hAnsi="Times New Roman"/>
          <w:b/>
          <w:sz w:val="24"/>
          <w:szCs w:val="24"/>
        </w:rPr>
        <w:t>Purchase of Fire Fighting Vehicle 4x4 2.600 Liters ”</w:t>
      </w:r>
      <w:r w:rsidRPr="00AF7FB7">
        <w:rPr>
          <w:rFonts w:ascii="Times New Roman" w:hAnsi="Times New Roman"/>
          <w:b/>
          <w:sz w:val="24"/>
          <w:szCs w:val="24"/>
        </w:rPr>
        <w:t xml:space="preserve"> </w:t>
      </w:r>
      <w:r w:rsidRPr="00AF7FB7">
        <w:rPr>
          <w:rFonts w:ascii="Times New Roman" w:hAnsi="Times New Roman"/>
          <w:b/>
          <w:i/>
          <w:sz w:val="24"/>
          <w:szCs w:val="24"/>
        </w:rPr>
        <w:t xml:space="preserve"> – </w:t>
      </w:r>
      <w:r w:rsidRPr="00AF7FB7">
        <w:rPr>
          <w:rFonts w:ascii="Times New Roman" w:hAnsi="Times New Roman"/>
          <w:b/>
          <w:sz w:val="24"/>
          <w:szCs w:val="24"/>
        </w:rPr>
        <w:t>in the frame of the project “</w:t>
      </w:r>
      <w:r>
        <w:rPr>
          <w:rFonts w:ascii="Times New Roman" w:hAnsi="Times New Roman"/>
          <w:b/>
          <w:sz w:val="24"/>
          <w:szCs w:val="24"/>
          <w:lang w:val="sq-AL"/>
        </w:rPr>
        <w:t>Fireprep</w:t>
      </w:r>
      <w:r w:rsidR="00B0626A">
        <w:rPr>
          <w:rFonts w:ascii="Times New Roman" w:hAnsi="Times New Roman"/>
          <w:b/>
          <w:sz w:val="24"/>
          <w:szCs w:val="24"/>
        </w:rPr>
        <w:t>”.</w:t>
      </w:r>
      <w:r w:rsidRPr="00AF7FB7">
        <w:rPr>
          <w:rFonts w:ascii="Times New Roman" w:hAnsi="Times New Roman"/>
          <w:b/>
          <w:sz w:val="24"/>
          <w:szCs w:val="24"/>
        </w:rPr>
        <w:tab/>
      </w:r>
    </w:p>
    <w:p w14:paraId="175A6254" w14:textId="44AF65D9" w:rsidR="00B0626A" w:rsidRDefault="00963D7C" w:rsidP="00B0626A">
      <w:pPr>
        <w:rPr>
          <w:rFonts w:ascii="Times New Roman" w:hAnsi="Times New Roman"/>
          <w:sz w:val="24"/>
          <w:szCs w:val="24"/>
        </w:rPr>
      </w:pPr>
      <w:r w:rsidRPr="00AF7FB7">
        <w:rPr>
          <w:rFonts w:ascii="Times New Roman" w:hAnsi="Times New Roman"/>
          <w:b/>
          <w:sz w:val="24"/>
          <w:szCs w:val="24"/>
        </w:rPr>
        <w:t xml:space="preserve">Publication </w:t>
      </w:r>
      <w:r w:rsidRPr="003C24C8">
        <w:rPr>
          <w:rFonts w:ascii="Times New Roman" w:hAnsi="Times New Roman"/>
          <w:b/>
          <w:sz w:val="24"/>
          <w:szCs w:val="24"/>
        </w:rPr>
        <w:t>reference:</w:t>
      </w:r>
      <w:r w:rsidRPr="003C24C8">
        <w:rPr>
          <w:rFonts w:ascii="Times New Roman" w:hAnsi="Times New Roman"/>
          <w:sz w:val="24"/>
          <w:szCs w:val="24"/>
        </w:rPr>
        <w:t xml:space="preserve"> </w:t>
      </w:r>
      <w:bookmarkStart w:id="1" w:name="_Hlk59602689"/>
      <w:r w:rsidR="00B0626A" w:rsidRPr="003C24C8">
        <w:rPr>
          <w:rFonts w:ascii="Times New Roman" w:hAnsi="Times New Roman"/>
          <w:sz w:val="24"/>
          <w:szCs w:val="24"/>
        </w:rPr>
        <w:t>Interreg IPA CBC PROGRAMME, Greece – Albania  2014-2020/ “Fireprep” / Prot.</w:t>
      </w:r>
      <w:r w:rsidR="003617A7" w:rsidRPr="003C24C8">
        <w:rPr>
          <w:rFonts w:ascii="Times New Roman" w:hAnsi="Times New Roman"/>
          <w:sz w:val="24"/>
          <w:szCs w:val="24"/>
        </w:rPr>
        <w:t xml:space="preserve"> </w:t>
      </w:r>
      <w:r w:rsidR="00B0626A" w:rsidRPr="003C24C8">
        <w:rPr>
          <w:rFonts w:ascii="Times New Roman" w:hAnsi="Times New Roman"/>
          <w:sz w:val="24"/>
          <w:szCs w:val="24"/>
        </w:rPr>
        <w:t>No.</w:t>
      </w:r>
      <w:r w:rsidR="003617A7" w:rsidRPr="003C24C8">
        <w:rPr>
          <w:rFonts w:ascii="Times New Roman" w:hAnsi="Times New Roman"/>
          <w:sz w:val="24"/>
          <w:szCs w:val="24"/>
        </w:rPr>
        <w:t xml:space="preserve"> </w:t>
      </w:r>
      <w:r w:rsidR="00ED494E" w:rsidRPr="003C24C8">
        <w:rPr>
          <w:rFonts w:ascii="Times New Roman" w:hAnsi="Times New Roman"/>
          <w:sz w:val="24"/>
          <w:szCs w:val="24"/>
        </w:rPr>
        <w:t>4778</w:t>
      </w:r>
      <w:r w:rsidR="00B0626A" w:rsidRPr="003C24C8">
        <w:rPr>
          <w:rFonts w:ascii="Times New Roman" w:hAnsi="Times New Roman"/>
          <w:sz w:val="24"/>
          <w:szCs w:val="24"/>
        </w:rPr>
        <w:t>, Order</w:t>
      </w:r>
      <w:r w:rsidR="00B0626A">
        <w:rPr>
          <w:rFonts w:ascii="Times New Roman" w:hAnsi="Times New Roman"/>
          <w:sz w:val="24"/>
          <w:szCs w:val="24"/>
        </w:rPr>
        <w:t>.</w:t>
      </w:r>
      <w:r w:rsidR="003C24C8">
        <w:rPr>
          <w:rFonts w:ascii="Times New Roman" w:hAnsi="Times New Roman"/>
          <w:sz w:val="24"/>
          <w:szCs w:val="24"/>
        </w:rPr>
        <w:t xml:space="preserve"> </w:t>
      </w:r>
      <w:r w:rsidR="00B0626A">
        <w:rPr>
          <w:rFonts w:ascii="Times New Roman" w:hAnsi="Times New Roman"/>
          <w:sz w:val="24"/>
          <w:szCs w:val="24"/>
        </w:rPr>
        <w:t>No.</w:t>
      </w:r>
      <w:r w:rsidR="003C24C8">
        <w:rPr>
          <w:rFonts w:ascii="Times New Roman" w:hAnsi="Times New Roman"/>
          <w:sz w:val="24"/>
          <w:szCs w:val="24"/>
        </w:rPr>
        <w:t xml:space="preserve"> </w:t>
      </w:r>
      <w:r w:rsidR="00B0626A">
        <w:rPr>
          <w:rFonts w:ascii="Times New Roman" w:hAnsi="Times New Roman"/>
          <w:sz w:val="24"/>
          <w:szCs w:val="24"/>
        </w:rPr>
        <w:t>49</w:t>
      </w:r>
      <w:r w:rsidR="00B0626A" w:rsidRPr="00AF7FB7">
        <w:rPr>
          <w:rFonts w:ascii="Times New Roman" w:hAnsi="Times New Roman"/>
          <w:sz w:val="24"/>
          <w:szCs w:val="24"/>
        </w:rPr>
        <w:t>,</w:t>
      </w:r>
      <w:r w:rsidR="003C24C8">
        <w:rPr>
          <w:rFonts w:ascii="Times New Roman" w:hAnsi="Times New Roman"/>
          <w:sz w:val="24"/>
          <w:szCs w:val="24"/>
        </w:rPr>
        <w:t xml:space="preserve"> </w:t>
      </w:r>
      <w:r w:rsidR="00B0626A" w:rsidRPr="00AF7FB7">
        <w:rPr>
          <w:rFonts w:ascii="Times New Roman" w:hAnsi="Times New Roman"/>
          <w:sz w:val="24"/>
          <w:szCs w:val="24"/>
        </w:rPr>
        <w:t xml:space="preserve">date </w:t>
      </w:r>
      <w:r w:rsidR="00B0626A">
        <w:rPr>
          <w:rFonts w:ascii="Times New Roman" w:hAnsi="Times New Roman"/>
          <w:sz w:val="24"/>
          <w:szCs w:val="24"/>
        </w:rPr>
        <w:t>06.10.</w:t>
      </w:r>
      <w:bookmarkStart w:id="2" w:name="_GoBack"/>
      <w:bookmarkEnd w:id="2"/>
      <w:r w:rsidR="00B0626A">
        <w:rPr>
          <w:rFonts w:ascii="Times New Roman" w:hAnsi="Times New Roman"/>
          <w:sz w:val="24"/>
          <w:szCs w:val="24"/>
        </w:rPr>
        <w:t>2020</w:t>
      </w:r>
    </w:p>
    <w:bookmarkEnd w:id="1"/>
    <w:p w14:paraId="4EFDA8DC"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7443CD2C"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822F53C"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3"/>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20270080"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134AF217"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4"/>
    </w:p>
    <w:p w14:paraId="3D3609B0" w14:textId="77777777"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F017DE">
        <w:rPr>
          <w:rFonts w:ascii="Times New Roman" w:hAnsi="Times New Roman"/>
          <w:sz w:val="22"/>
          <w:szCs w:val="22"/>
          <w:highlight w:val="yellow"/>
        </w:rPr>
        <w:t xml:space="preserve">Indicate here the contact persons, addresses of the </w:t>
      </w:r>
      <w:r w:rsidR="003F7AF5" w:rsidRPr="00F017DE">
        <w:rPr>
          <w:rFonts w:ascii="Times New Roman" w:hAnsi="Times New Roman"/>
          <w:sz w:val="22"/>
          <w:szCs w:val="22"/>
          <w:highlight w:val="yellow"/>
        </w:rPr>
        <w:t>p</w:t>
      </w:r>
      <w:r w:rsidR="0047783A" w:rsidRPr="00F017DE">
        <w:rPr>
          <w:rFonts w:ascii="Times New Roman" w:hAnsi="Times New Roman"/>
          <w:sz w:val="22"/>
          <w:szCs w:val="22"/>
          <w:highlight w:val="yellow"/>
        </w:rPr>
        <w:t xml:space="preserve">arties and their </w:t>
      </w:r>
      <w:r w:rsidR="003F7AF5" w:rsidRPr="00F017DE">
        <w:rPr>
          <w:rFonts w:ascii="Times New Roman" w:hAnsi="Times New Roman"/>
          <w:sz w:val="22"/>
          <w:szCs w:val="22"/>
          <w:highlight w:val="yellow"/>
        </w:rPr>
        <w:t>contact details</w:t>
      </w:r>
      <w:r w:rsidRPr="00F017DE">
        <w:rPr>
          <w:rFonts w:ascii="Times New Roman" w:hAnsi="Times New Roman"/>
          <w:sz w:val="22"/>
          <w:szCs w:val="22"/>
          <w:highlight w:val="yellow"/>
        </w:rPr>
        <w:t xml:space="preserve"> the documents to provide and the procedure to be used by the Parties for communication.</w:t>
      </w:r>
      <w:r w:rsidR="0047783A" w:rsidRPr="00F017DE">
        <w:rPr>
          <w:rFonts w:ascii="Times New Roman" w:hAnsi="Times New Roman"/>
          <w:sz w:val="22"/>
          <w:szCs w:val="22"/>
          <w:highlight w:val="yellow"/>
        </w:rPr>
        <w:t>&gt;</w:t>
      </w:r>
    </w:p>
    <w:p w14:paraId="5D1E7AA7"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75545113"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3EB74222" w14:textId="4D776901" w:rsidR="0047783A" w:rsidRPr="003D6B6C" w:rsidRDefault="0047783A" w:rsidP="004F7A0E">
      <w:pPr>
        <w:spacing w:before="240"/>
        <w:ind w:left="1134" w:hanging="1134"/>
        <w:jc w:val="both"/>
        <w:rPr>
          <w:rFonts w:ascii="Times New Roman" w:hAnsi="Times New Roman"/>
          <w:b/>
          <w:sz w:val="24"/>
          <w:szCs w:val="24"/>
        </w:rPr>
      </w:pPr>
      <w:r w:rsidRPr="00F017DE">
        <w:rPr>
          <w:rFonts w:ascii="Times New Roman" w:hAnsi="Times New Roman"/>
          <w:b/>
          <w:sz w:val="24"/>
          <w:szCs w:val="24"/>
          <w:highlight w:val="lightGray"/>
        </w:rPr>
        <w:t>Article 6</w:t>
      </w:r>
      <w:r w:rsidRPr="00F017DE">
        <w:rPr>
          <w:rFonts w:ascii="Times New Roman" w:hAnsi="Times New Roman"/>
          <w:b/>
          <w:sz w:val="24"/>
          <w:szCs w:val="24"/>
          <w:highlight w:val="lightGray"/>
        </w:rPr>
        <w:tab/>
        <w:t>Subcontracting</w:t>
      </w:r>
    </w:p>
    <w:p w14:paraId="1770F27D" w14:textId="77777777"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Pr>
          <w:rFonts w:ascii="Times New Roman" w:hAnsi="Times New Roman"/>
          <w:sz w:val="22"/>
          <w:szCs w:val="22"/>
          <w:highlight w:val="yellow"/>
        </w:rPr>
        <w:t>N/A</w:t>
      </w:r>
    </w:p>
    <w:p w14:paraId="63135A9C"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5"/>
    </w:p>
    <w:p w14:paraId="7887EB29" w14:textId="77777777" w:rsidR="0047783A" w:rsidRPr="003D6B6C" w:rsidRDefault="0047783A" w:rsidP="00B34179">
      <w:pPr>
        <w:jc w:val="both"/>
        <w:rPr>
          <w:rFonts w:ascii="Times New Roman" w:hAnsi="Times New Roman"/>
          <w:b/>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 xml:space="preserve">Indicate here the documents, drawings to be supplied and, if necessary, the procedure </w:t>
      </w:r>
      <w:r w:rsidR="00923EDA" w:rsidRPr="003D6B6C">
        <w:rPr>
          <w:rFonts w:ascii="Times New Roman" w:hAnsi="Times New Roman"/>
          <w:sz w:val="22"/>
          <w:szCs w:val="22"/>
          <w:highlight w:val="yellow"/>
        </w:rPr>
        <w:t xml:space="preserve">to be </w:t>
      </w:r>
      <w:r w:rsidRPr="003D6B6C">
        <w:rPr>
          <w:rFonts w:ascii="Times New Roman" w:hAnsi="Times New Roman"/>
          <w:sz w:val="22"/>
          <w:szCs w:val="22"/>
          <w:highlight w:val="yellow"/>
        </w:rPr>
        <w:t xml:space="preserve">used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3D6B6C">
        <w:rPr>
          <w:rFonts w:ascii="Times New Roman" w:hAnsi="Times New Roman"/>
          <w:sz w:val="22"/>
          <w:szCs w:val="22"/>
          <w:highlight w:val="yellow"/>
        </w:rPr>
        <w:t xml:space="preserve">uthority and the </w:t>
      </w:r>
      <w:r w:rsidR="00B2529B">
        <w:rPr>
          <w:rFonts w:ascii="Times New Roman" w:hAnsi="Times New Roman"/>
          <w:sz w:val="22"/>
          <w:szCs w:val="22"/>
          <w:highlight w:val="yellow"/>
        </w:rPr>
        <w:t>p</w:t>
      </w:r>
      <w:r w:rsidRPr="003D6B6C">
        <w:rPr>
          <w:rFonts w:ascii="Times New Roman" w:hAnsi="Times New Roman"/>
          <w:sz w:val="22"/>
          <w:szCs w:val="22"/>
          <w:highlight w:val="yellow"/>
        </w:rPr>
        <w:t xml:space="preserve">roject </w:t>
      </w:r>
      <w:r w:rsidR="00B2529B">
        <w:rPr>
          <w:rFonts w:ascii="Times New Roman" w:hAnsi="Times New Roman"/>
          <w:sz w:val="22"/>
          <w:szCs w:val="22"/>
          <w:highlight w:val="yellow"/>
        </w:rPr>
        <w:t>m</w:t>
      </w:r>
      <w:r w:rsidRPr="003D6B6C">
        <w:rPr>
          <w:rFonts w:ascii="Times New Roman" w:hAnsi="Times New Roman"/>
          <w:sz w:val="22"/>
          <w:szCs w:val="22"/>
          <w:highlight w:val="yellow"/>
        </w:rPr>
        <w:t>anager</w:t>
      </w:r>
      <w:r w:rsidR="00923EDA" w:rsidRPr="003D6B6C">
        <w:rPr>
          <w:rFonts w:ascii="Times New Roman" w:hAnsi="Times New Roman"/>
          <w:sz w:val="22"/>
          <w:szCs w:val="22"/>
          <w:highlight w:val="yellow"/>
        </w:rPr>
        <w:t xml:space="preserve"> to approve drawings and other documents provided by the </w:t>
      </w:r>
      <w:r w:rsidR="00B2529B">
        <w:rPr>
          <w:rFonts w:ascii="Times New Roman" w:hAnsi="Times New Roman"/>
          <w:sz w:val="22"/>
          <w:szCs w:val="22"/>
          <w:highlight w:val="yellow"/>
        </w:rPr>
        <w:t>c</w:t>
      </w:r>
      <w:r w:rsidR="00923EDA" w:rsidRPr="003D6B6C">
        <w:rPr>
          <w:rFonts w:ascii="Times New Roman" w:hAnsi="Times New Roman"/>
          <w:sz w:val="22"/>
          <w:szCs w:val="22"/>
          <w:highlight w:val="yellow"/>
        </w:rPr>
        <w:t>ontractor</w:t>
      </w:r>
      <w:r w:rsidRPr="003D6B6C">
        <w:rPr>
          <w:rFonts w:ascii="Times New Roman" w:hAnsi="Times New Roman"/>
          <w:sz w:val="22"/>
          <w:szCs w:val="22"/>
          <w:highlight w:val="yellow"/>
        </w:rPr>
        <w:t>&gt;</w:t>
      </w:r>
    </w:p>
    <w:p w14:paraId="11557198" w14:textId="77777777" w:rsidR="0047783A" w:rsidRPr="003D6B6C" w:rsidRDefault="0047783A" w:rsidP="00B34179">
      <w:pPr>
        <w:spacing w:before="240"/>
        <w:ind w:left="1134" w:hanging="1134"/>
        <w:jc w:val="both"/>
        <w:rPr>
          <w:rFonts w:ascii="Times New Roman" w:hAnsi="Times New Roman"/>
          <w:b/>
          <w:sz w:val="24"/>
          <w:szCs w:val="24"/>
        </w:rPr>
      </w:pPr>
      <w:bookmarkStart w:id="6" w:name="_Toc124934899"/>
      <w:r w:rsidRPr="003D6B6C">
        <w:rPr>
          <w:rFonts w:ascii="Times New Roman" w:hAnsi="Times New Roman"/>
          <w:b/>
          <w:sz w:val="24"/>
          <w:szCs w:val="24"/>
        </w:rPr>
        <w:lastRenderedPageBreak/>
        <w:t>Article 8</w:t>
      </w:r>
      <w:r w:rsidRPr="003D6B6C">
        <w:rPr>
          <w:rFonts w:ascii="Times New Roman" w:hAnsi="Times New Roman"/>
          <w:b/>
          <w:sz w:val="24"/>
          <w:szCs w:val="24"/>
        </w:rPr>
        <w:tab/>
        <w:t>Assistance with local regulations</w:t>
      </w:r>
      <w:bookmarkEnd w:id="6"/>
    </w:p>
    <w:p w14:paraId="15F384B3" w14:textId="77777777" w:rsidR="0047783A" w:rsidRPr="003D6B6C" w:rsidRDefault="0047783A" w:rsidP="00B34179">
      <w:pPr>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procedures for obtaining permits, visas, authorisation or licences or, at least, specify the relevant reference texts, if necessary</w:t>
      </w:r>
      <w:r w:rsidRPr="003D6B6C">
        <w:rPr>
          <w:rFonts w:ascii="Times New Roman" w:hAnsi="Times New Roman"/>
          <w:sz w:val="22"/>
          <w:szCs w:val="22"/>
        </w:rPr>
        <w:t>&gt;</w:t>
      </w:r>
    </w:p>
    <w:p w14:paraId="3A368E82"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5A05F601" w14:textId="77777777"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t>&lt;</w:t>
      </w:r>
      <w:r w:rsidRPr="003D6B6C">
        <w:rPr>
          <w:rFonts w:ascii="Times New Roman" w:hAnsi="Times New Roman"/>
          <w:sz w:val="22"/>
          <w:szCs w:val="22"/>
          <w:highlight w:val="yellow"/>
        </w:rPr>
        <w:t xml:space="preserve">Specify the specific activities to be put in place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ontractor to comply with its minimum obligation toward visibility. These activities must comply with the rules lay down in the Communication and Visibility Manual for EU External Actions published </w:t>
      </w:r>
      <w:r w:rsidR="00FD659C" w:rsidRPr="003D6B6C">
        <w:rPr>
          <w:rFonts w:ascii="Times New Roman" w:hAnsi="Times New Roman"/>
          <w:sz w:val="22"/>
          <w:szCs w:val="22"/>
          <w:highlight w:val="yellow"/>
        </w:rPr>
        <w:t xml:space="preserve">on the  </w:t>
      </w:r>
      <w:r w:rsidR="00F72977">
        <w:rPr>
          <w:rFonts w:ascii="Times New Roman" w:hAnsi="Times New Roman"/>
          <w:sz w:val="22"/>
          <w:szCs w:val="22"/>
          <w:highlight w:val="yellow"/>
        </w:rPr>
        <w:t>w</w:t>
      </w:r>
      <w:r w:rsidR="00FD659C" w:rsidRPr="003D6B6C">
        <w:rPr>
          <w:rFonts w:ascii="Times New Roman" w:hAnsi="Times New Roman"/>
          <w:sz w:val="22"/>
          <w:szCs w:val="22"/>
          <w:highlight w:val="yellow"/>
        </w:rPr>
        <w:t>ebsite</w:t>
      </w:r>
      <w:r w:rsidR="00F72977">
        <w:rPr>
          <w:rFonts w:ascii="Times New Roman" w:hAnsi="Times New Roman"/>
          <w:sz w:val="22"/>
          <w:szCs w:val="22"/>
          <w:highlight w:val="yellow"/>
        </w:rPr>
        <w:t xml:space="preserve"> of DG International Cooperation and Development</w:t>
      </w:r>
      <w:r w:rsidR="00FD659C" w:rsidRPr="003D6B6C">
        <w:rPr>
          <w:rFonts w:ascii="Times New Roman" w:hAnsi="Times New Roman"/>
          <w:sz w:val="22"/>
          <w:szCs w:val="22"/>
          <w:highlight w:val="yellow"/>
        </w:rPr>
        <w:t>:</w:t>
      </w:r>
      <w:r w:rsidR="003D6B6C" w:rsidRPr="003D6B6C">
        <w:rPr>
          <w:rFonts w:ascii="Times New Roman" w:hAnsi="Times New Roman"/>
          <w:sz w:val="22"/>
          <w:szCs w:val="22"/>
          <w:highlight w:val="yellow"/>
        </w:rPr>
        <w:t xml:space="preserv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3D6B6C">
        <w:rPr>
          <w:rFonts w:ascii="Times New Roman" w:hAnsi="Times New Roman"/>
          <w:sz w:val="22"/>
          <w:szCs w:val="22"/>
          <w:highlight w:val="yellow"/>
        </w:rPr>
        <w:t>.&gt;</w:t>
      </w:r>
    </w:p>
    <w:p w14:paraId="31BB69F8" w14:textId="77777777" w:rsidR="0047783A" w:rsidRPr="003D6B6C" w:rsidRDefault="0047783A" w:rsidP="001B55AC">
      <w:pPr>
        <w:keepNext/>
        <w:spacing w:before="240"/>
        <w:ind w:left="1134" w:hanging="1134"/>
        <w:jc w:val="both"/>
        <w:rPr>
          <w:rFonts w:ascii="Times New Roman" w:hAnsi="Times New Roman"/>
          <w:b/>
          <w:sz w:val="24"/>
          <w:szCs w:val="24"/>
        </w:rPr>
      </w:pPr>
      <w:bookmarkStart w:id="7"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7"/>
    </w:p>
    <w:p w14:paraId="4B17E299" w14:textId="2FEA66AF" w:rsidR="0047783A" w:rsidRPr="003D6B6C" w:rsidRDefault="0047783A" w:rsidP="00030561">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Pr="003D6B6C">
        <w:rPr>
          <w:rFonts w:ascii="Times New Roman" w:hAnsi="Times New Roman"/>
          <w:sz w:val="22"/>
          <w:szCs w:val="22"/>
        </w:rPr>
        <w:t>&lt;</w:t>
      </w:r>
      <w:r w:rsidRPr="003D6B6C">
        <w:rPr>
          <w:rFonts w:ascii="Times New Roman" w:hAnsi="Times New Roman"/>
          <w:sz w:val="22"/>
          <w:szCs w:val="22"/>
          <w:highlight w:val="yellow"/>
        </w:rPr>
        <w:t>Specify any authorised derogation from the rules of origin</w:t>
      </w:r>
      <w:r w:rsidRPr="003D6B6C">
        <w:rPr>
          <w:rFonts w:ascii="Times New Roman" w:hAnsi="Times New Roman"/>
          <w:sz w:val="22"/>
          <w:szCs w:val="22"/>
        </w:rPr>
        <w:t>&gt;</w:t>
      </w:r>
    </w:p>
    <w:p w14:paraId="6E5CF7D2"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8"/>
    </w:p>
    <w:p w14:paraId="7F9C373C" w14:textId="77777777" w:rsidR="00D25711" w:rsidRPr="003D6B6C" w:rsidRDefault="00F355C1" w:rsidP="00DE09DB">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p>
    <w:p w14:paraId="26FFF40E" w14:textId="77777777" w:rsidR="00D25711" w:rsidRPr="003D6B6C" w:rsidRDefault="00D25711" w:rsidP="003D6B6C">
      <w:pPr>
        <w:ind w:left="1134"/>
        <w:jc w:val="both"/>
        <w:rPr>
          <w:rFonts w:ascii="Times New Roman" w:hAnsi="Times New Roman"/>
          <w:sz w:val="22"/>
          <w:szCs w:val="22"/>
        </w:rPr>
      </w:pPr>
      <w:r w:rsidRPr="003D6B6C">
        <w:rPr>
          <w:rFonts w:ascii="Times New Roman" w:hAnsi="Times New Roman"/>
          <w:sz w:val="22"/>
          <w:szCs w:val="22"/>
          <w:highlight w:val="lightGray"/>
        </w:rPr>
        <w:t>No performance guarantee is required</w:t>
      </w:r>
      <w:r w:rsidRPr="00797C04">
        <w:rPr>
          <w:rFonts w:ascii="Times New Roman" w:hAnsi="Times New Roman"/>
          <w:sz w:val="22"/>
          <w:szCs w:val="22"/>
        </w:rPr>
        <w:t>.</w:t>
      </w:r>
    </w:p>
    <w:p w14:paraId="44428F48"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9"/>
    </w:p>
    <w:p w14:paraId="634ED51B" w14:textId="4EF3E50B" w:rsidR="004D33C9" w:rsidRPr="003D6B6C" w:rsidRDefault="004D33C9" w:rsidP="00030561">
      <w:pPr>
        <w:tabs>
          <w:tab w:val="left" w:pos="1134"/>
        </w:tabs>
        <w:spacing w:before="240"/>
        <w:ind w:left="1134" w:hanging="708"/>
        <w:jc w:val="both"/>
        <w:rPr>
          <w:rFonts w:ascii="Times New Roman" w:hAnsi="Times New Roman"/>
          <w:sz w:val="22"/>
          <w:szCs w:val="22"/>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00030561">
        <w:rPr>
          <w:rFonts w:ascii="Times New Roman" w:hAnsi="Times New Roman"/>
          <w:sz w:val="22"/>
          <w:szCs w:val="22"/>
        </w:rPr>
        <w:t>N/a</w:t>
      </w:r>
      <w:r w:rsidRPr="003D6B6C">
        <w:rPr>
          <w:rFonts w:ascii="Times New Roman" w:hAnsi="Times New Roman"/>
          <w:sz w:val="22"/>
          <w:szCs w:val="22"/>
        </w:rPr>
        <w:t xml:space="preserve"> :</w:t>
      </w:r>
    </w:p>
    <w:p w14:paraId="0D75118D" w14:textId="77777777"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w:t>
      </w:r>
      <w:r w:rsidR="003D6B6C">
        <w:rPr>
          <w:rFonts w:ascii="Times New Roman" w:hAnsi="Times New Roman"/>
          <w:sz w:val="22"/>
          <w:szCs w:val="22"/>
        </w:rPr>
        <w:t>1</w:t>
      </w:r>
      <w:r w:rsidR="001020D9">
        <w:rPr>
          <w:rFonts w:ascii="Times New Roman" w:hAnsi="Times New Roman"/>
          <w:sz w:val="22"/>
          <w:szCs w:val="22"/>
        </w:rPr>
        <w:t>(</w:t>
      </w:r>
      <w:r w:rsidRPr="003D6B6C">
        <w:rPr>
          <w:rFonts w:ascii="Times New Roman" w:hAnsi="Times New Roman"/>
          <w:sz w:val="22"/>
          <w:szCs w:val="22"/>
        </w:rPr>
        <w:t>b)</w:t>
      </w:r>
      <w:r w:rsidR="003D6B6C">
        <w:rPr>
          <w:rFonts w:ascii="Times New Roman" w:hAnsi="Times New Roman"/>
          <w:sz w:val="22"/>
          <w:szCs w:val="22"/>
        </w:rPr>
        <w:tab/>
      </w:r>
      <w:r w:rsidRPr="003D6B6C">
        <w:rPr>
          <w:rFonts w:ascii="Times New Roman" w:hAnsi="Times New Roman"/>
          <w:sz w:val="22"/>
          <w:szCs w:val="22"/>
        </w:rPr>
        <w:t>&lt;</w:t>
      </w:r>
      <w:r w:rsidRPr="00F017DE">
        <w:rPr>
          <w:rFonts w:ascii="Times New Roman" w:hAnsi="Times New Roman"/>
          <w:sz w:val="22"/>
          <w:szCs w:val="22"/>
          <w:highlight w:val="yellow"/>
        </w:rPr>
        <w:t xml:space="preserve">Specify here the specific requirements of liability for damages to the </w:t>
      </w:r>
      <w:r w:rsidR="00B2529B">
        <w:rPr>
          <w:rFonts w:ascii="Times New Roman" w:hAnsi="Times New Roman"/>
          <w:sz w:val="22"/>
          <w:szCs w:val="22"/>
          <w:highlight w:val="yellow"/>
        </w:rPr>
        <w:t>c</w:t>
      </w:r>
      <w:r w:rsidRPr="00F017DE">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F017DE">
        <w:rPr>
          <w:rFonts w:ascii="Times New Roman" w:hAnsi="Times New Roman"/>
          <w:sz w:val="22"/>
          <w:szCs w:val="22"/>
          <w:highlight w:val="yellow"/>
        </w:rPr>
        <w:t xml:space="preserve">uthority&gt; </w:t>
      </w:r>
    </w:p>
    <w:p w14:paraId="5F2F11F5" w14:textId="77777777" w:rsidR="004D33C9" w:rsidRPr="003D6B6C" w:rsidRDefault="004D33C9" w:rsidP="00DD2B6E">
      <w:pPr>
        <w:tabs>
          <w:tab w:val="left" w:pos="1134"/>
        </w:tabs>
        <w:spacing w:before="240"/>
        <w:ind w:left="1134"/>
        <w:jc w:val="both"/>
        <w:rPr>
          <w:rFonts w:ascii="Times New Roman" w:hAnsi="Times New Roman"/>
          <w:sz w:val="22"/>
          <w:szCs w:val="22"/>
        </w:rPr>
      </w:pPr>
      <w:r w:rsidRPr="00F017DE">
        <w:rPr>
          <w:rFonts w:ascii="Times New Roman" w:hAnsi="Times New Roman"/>
          <w:sz w:val="22"/>
          <w:szCs w:val="22"/>
          <w:highlight w:val="yellow"/>
        </w:rPr>
        <w:t>[If you find it necessary to set a limit other than that referred to in the general conditions</w:t>
      </w:r>
      <w:r w:rsidR="00F35D21" w:rsidRPr="00F017DE">
        <w:rPr>
          <w:rFonts w:ascii="Times New Roman" w:hAnsi="Times New Roman"/>
          <w:sz w:val="22"/>
          <w:szCs w:val="22"/>
          <w:highlight w:val="yellow"/>
        </w:rPr>
        <w:t>,</w:t>
      </w:r>
      <w:r w:rsidRPr="00F017DE">
        <w:rPr>
          <w:rFonts w:ascii="Times New Roman" w:hAnsi="Times New Roman"/>
          <w:sz w:val="22"/>
          <w:szCs w:val="22"/>
          <w:highlight w:val="yellow"/>
        </w:rPr>
        <w:t xml:space="preserve"> add the following clause</w:t>
      </w:r>
      <w:r w:rsidRPr="003D6B6C">
        <w:rPr>
          <w:rFonts w:ascii="Times New Roman" w:hAnsi="Times New Roman"/>
          <w:sz w:val="22"/>
          <w:szCs w:val="22"/>
        </w:rPr>
        <w:t xml:space="preserve"> :</w:t>
      </w:r>
    </w:p>
    <w:p w14:paraId="2BD0C5A3" w14:textId="77777777"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b), paragraph 2, of the general conditions, compensation for damage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an 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9293D">
        <w:rPr>
          <w:rFonts w:ascii="Times New Roman" w:hAnsi="Times New Roman"/>
          <w:sz w:val="22"/>
          <w:szCs w:val="22"/>
        </w:rPr>
        <w:t>&gt;</w:t>
      </w:r>
      <w:r w:rsidR="004D33C9" w:rsidRPr="003D6B6C">
        <w:rPr>
          <w:rFonts w:ascii="Times New Roman" w:hAnsi="Times New Roman"/>
          <w:sz w:val="22"/>
          <w:szCs w:val="22"/>
        </w:rPr>
        <w:t>.</w:t>
      </w:r>
      <w:r>
        <w:rPr>
          <w:rFonts w:ascii="Times New Roman" w:hAnsi="Times New Roman"/>
          <w:sz w:val="22"/>
          <w:szCs w:val="22"/>
        </w:rPr>
        <w:t>’</w:t>
      </w:r>
      <w:r w:rsidR="004D33C9" w:rsidRPr="003D6B6C">
        <w:rPr>
          <w:rFonts w:ascii="Times New Roman" w:hAnsi="Times New Roman"/>
          <w:sz w:val="22"/>
          <w:szCs w:val="22"/>
        </w:rPr>
        <w:t>]</w:t>
      </w:r>
    </w:p>
    <w:p w14:paraId="033ACBB2"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4D33C9" w:rsidRPr="003D6B6C">
        <w:rPr>
          <w:rFonts w:ascii="Times New Roman" w:hAnsi="Times New Roman"/>
          <w:sz w:val="22"/>
          <w:szCs w:val="22"/>
        </w:rPr>
        <w:t>a), paragraph 1</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proof of completion of adequate insurance must be provided&gt; </w:t>
      </w:r>
    </w:p>
    <w:p w14:paraId="01A5181A" w14:textId="77777777"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[If you find it necessary to tailor differently when the requirements for proof of insurance must be met, add the following clause</w:t>
      </w:r>
      <w:r w:rsidRPr="003D6B6C">
        <w:rPr>
          <w:rFonts w:ascii="Times New Roman" w:hAnsi="Times New Roman"/>
          <w:sz w:val="22"/>
          <w:szCs w:val="22"/>
        </w:rPr>
        <w:t xml:space="preserve"> :</w:t>
      </w:r>
    </w:p>
    <w:p w14:paraId="359A45E9" w14:textId="77777777" w:rsidR="004D33C9" w:rsidRPr="003D6B6C" w:rsidRDefault="004D33C9" w:rsidP="003D6B6C">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12.2</w:t>
      </w:r>
      <w:r w:rsidR="001020D9">
        <w:rPr>
          <w:rFonts w:ascii="Times New Roman" w:hAnsi="Times New Roman"/>
          <w:sz w:val="22"/>
          <w:szCs w:val="22"/>
          <w:highlight w:val="lightGray"/>
        </w:rPr>
        <w:t>(</w:t>
      </w:r>
      <w:r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paragraph 1</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general conditions, [</w:t>
      </w:r>
      <w:r w:rsidRPr="003D6B6C">
        <w:rPr>
          <w:rFonts w:ascii="Times New Roman" w:hAnsi="Times New Roman"/>
          <w:sz w:val="22"/>
          <w:szCs w:val="22"/>
          <w:highlight w:val="yellow"/>
        </w:rPr>
        <w:t>indicate when</w:t>
      </w:r>
      <w:r w:rsidRPr="003D6B6C">
        <w:rPr>
          <w:rFonts w:ascii="Times New Roman" w:hAnsi="Times New Roman"/>
          <w:sz w:val="22"/>
          <w:szCs w:val="22"/>
          <w:highlight w:val="lightGray"/>
        </w:rPr>
        <w:t>]</w:t>
      </w:r>
      <w:r w:rsidRPr="003D6B6C">
        <w:rPr>
          <w:rFonts w:ascii="Times New Roman" w:hAnsi="Times New Roman"/>
          <w:sz w:val="22"/>
          <w:szCs w:val="22"/>
          <w:highlight w:val="darkGray"/>
        </w:rPr>
        <w:t>,</w:t>
      </w:r>
      <w:r w:rsidR="003D6B6C">
        <w:rPr>
          <w:rFonts w:ascii="Times New Roman" w:hAnsi="Times New Roman"/>
          <w:sz w:val="22"/>
          <w:szCs w:val="22"/>
          <w:highlight w:val="lightGray"/>
        </w:rPr>
        <w:t xml:space="preserve"> t</w:t>
      </w:r>
      <w:r w:rsidRPr="003D6B6C">
        <w:rPr>
          <w:rFonts w:ascii="Times New Roman" w:hAnsi="Times New Roman"/>
          <w:sz w:val="22"/>
          <w:szCs w:val="22"/>
          <w:highlight w:val="lightGray"/>
        </w:rPr>
        <w:t xml:space="preserve">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w:t>
      </w:r>
      <w:r w:rsidRPr="003D6B6C">
        <w:rPr>
          <w:rFonts w:ascii="Times New Roman" w:hAnsi="Times New Roman"/>
          <w:color w:val="222222"/>
          <w:sz w:val="22"/>
          <w:szCs w:val="22"/>
          <w:highlight w:val="lightGray"/>
          <w:lang w:val="en"/>
        </w:rPr>
        <w:t xml:space="preserve">ensure that </w:t>
      </w:r>
      <w:r w:rsidRPr="003D6B6C">
        <w:rPr>
          <w:rFonts w:ascii="Times New Roman" w:hAnsi="Times New Roman"/>
          <w:sz w:val="22"/>
          <w:szCs w:val="22"/>
          <w:highlight w:val="lightGray"/>
        </w:rPr>
        <w:t xml:space="preserve">itself, its staff, its subcontractors and any person for which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 is answerable</w:t>
      </w:r>
      <w:r w:rsidRPr="003D6B6C">
        <w:rPr>
          <w:rFonts w:ascii="Times New Roman" w:hAnsi="Times New Roman"/>
          <w:color w:val="222222"/>
          <w:sz w:val="22"/>
          <w:szCs w:val="22"/>
          <w:highlight w:val="lightGray"/>
          <w:lang w:val="en"/>
        </w:rPr>
        <w:t xml:space="preserve">, are adequately insured with insurance companies recognized on the international insurance market, unless 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uthority has given its express written consent on a specific insurance company</w:t>
      </w:r>
      <w:r w:rsidRPr="003D6B6C">
        <w:rPr>
          <w:rFonts w:ascii="Times New Roman" w:hAnsi="Times New Roman"/>
          <w:sz w:val="22"/>
          <w:szCs w:val="22"/>
        </w:rPr>
        <w:t>.]</w:t>
      </w:r>
    </w:p>
    <w:p w14:paraId="7A78C969"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lastRenderedPageBreak/>
        <w:t>12.2</w:t>
      </w:r>
      <w:r w:rsidR="001020D9">
        <w:rPr>
          <w:rFonts w:ascii="Times New Roman" w:hAnsi="Times New Roman"/>
          <w:sz w:val="22"/>
          <w:szCs w:val="22"/>
        </w:rPr>
        <w:t>(</w:t>
      </w:r>
      <w:r w:rsidR="00F51D3D" w:rsidRPr="003D6B6C">
        <w:rPr>
          <w:rFonts w:ascii="Times New Roman" w:hAnsi="Times New Roman"/>
          <w:sz w:val="22"/>
          <w:szCs w:val="22"/>
        </w:rPr>
        <w:t>a</w:t>
      </w:r>
      <w:r w:rsidR="004D33C9" w:rsidRPr="003D6B6C">
        <w:rPr>
          <w:rFonts w:ascii="Times New Roman" w:hAnsi="Times New Roman"/>
          <w:sz w:val="22"/>
          <w:szCs w:val="22"/>
        </w:rPr>
        <w:t xml:space="preserve">), paragraph </w:t>
      </w:r>
      <w:r>
        <w:rPr>
          <w:rFonts w:ascii="Times New Roman" w:hAnsi="Times New Roman"/>
          <w:sz w:val="22"/>
          <w:szCs w:val="22"/>
        </w:rPr>
        <w:t>2</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communication of cover notes and/or insurance certificates must be fulfilled&gt; </w:t>
      </w:r>
    </w:p>
    <w:p w14:paraId="06D3C313" w14:textId="77777777"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 If you find it necessary to tailor differently the moment cover notes and/or insurance certificates must be communicated, add the following clause</w:t>
      </w:r>
      <w:r w:rsidRPr="003D6B6C">
        <w:rPr>
          <w:rFonts w:ascii="Times New Roman" w:hAnsi="Times New Roman"/>
          <w:sz w:val="22"/>
          <w:szCs w:val="22"/>
        </w:rPr>
        <w:t xml:space="preserve"> :</w:t>
      </w:r>
    </w:p>
    <w:p w14:paraId="04EF622F" w14:textId="77777777" w:rsidR="004D33C9" w:rsidRPr="003D6B6C" w:rsidRDefault="004D33C9" w:rsidP="003D6B6C">
      <w:pPr>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00F51D3D" w:rsidRPr="003D6B6C">
        <w:rPr>
          <w:rFonts w:ascii="Times New Roman" w:hAnsi="Times New Roman"/>
          <w:sz w:val="22"/>
          <w:szCs w:val="22"/>
          <w:highlight w:val="lightGray"/>
        </w:rPr>
        <w:t>a</w:t>
      </w:r>
      <w:r w:rsidRPr="003D6B6C">
        <w:rPr>
          <w:rFonts w:ascii="Times New Roman" w:hAnsi="Times New Roman"/>
          <w:sz w:val="22"/>
          <w:szCs w:val="22"/>
          <w:highlight w:val="lightGray"/>
        </w:rPr>
        <w:t xml:space="preserve">), paragraph </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w:t>
      </w:r>
      <w:r w:rsidR="00B2529B">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onditions it is</w:t>
      </w:r>
      <w:r w:rsidRPr="003D6B6C">
        <w:rPr>
          <w:rFonts w:ascii="Times New Roman" w:hAnsi="Times New Roman"/>
          <w:sz w:val="22"/>
          <w:szCs w:val="22"/>
        </w:rPr>
        <w:t xml:space="preserve"> [</w:t>
      </w:r>
      <w:r w:rsidRPr="003D6B6C">
        <w:rPr>
          <w:rFonts w:ascii="Times New Roman" w:hAnsi="Times New Roman"/>
          <w:sz w:val="22"/>
          <w:szCs w:val="22"/>
          <w:highlight w:val="yellow"/>
        </w:rPr>
        <w:t>state when</w:t>
      </w:r>
      <w:r w:rsidRPr="003D6B6C">
        <w:rPr>
          <w:rFonts w:ascii="Times New Roman" w:hAnsi="Times New Roman"/>
          <w:sz w:val="22"/>
          <w:szCs w:val="22"/>
        </w:rPr>
        <w:t xml:space="preserve">] </w:t>
      </w:r>
      <w:r w:rsidRPr="003D6B6C">
        <w:rPr>
          <w:rFonts w:ascii="Times New Roman" w:hAnsi="Times New Roman"/>
          <w:sz w:val="22"/>
          <w:szCs w:val="22"/>
          <w:highlight w:val="lightGray"/>
        </w:rPr>
        <w:t xml:space="preserve">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provide </w:t>
      </w:r>
      <w:r w:rsidRPr="003D6B6C">
        <w:rPr>
          <w:rFonts w:ascii="Times New Roman" w:hAnsi="Times New Roman"/>
          <w:color w:val="222222"/>
          <w:sz w:val="22"/>
          <w:szCs w:val="22"/>
          <w:highlight w:val="lightGray"/>
          <w:lang w:val="en"/>
        </w:rPr>
        <w:t xml:space="preserve">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 xml:space="preserve">uthority </w:t>
      </w:r>
      <w:r w:rsidRPr="003D6B6C">
        <w:rPr>
          <w:rFonts w:ascii="Times New Roman" w:hAnsi="Times New Roman"/>
          <w:sz w:val="22"/>
          <w:szCs w:val="22"/>
          <w:highlight w:val="lightGray"/>
        </w:rPr>
        <w:t xml:space="preserve">with all cover notes and/or insurance </w:t>
      </w:r>
      <w:r w:rsidR="00BC0A51" w:rsidRPr="003D6B6C">
        <w:rPr>
          <w:rFonts w:ascii="Times New Roman" w:hAnsi="Times New Roman"/>
          <w:sz w:val="22"/>
          <w:szCs w:val="22"/>
          <w:highlight w:val="lightGray"/>
        </w:rPr>
        <w:t xml:space="preserve">certificates </w:t>
      </w:r>
      <w:r w:rsidRPr="003D6B6C">
        <w:rPr>
          <w:rFonts w:ascii="Times New Roman" w:hAnsi="Times New Roman"/>
          <w:sz w:val="22"/>
          <w:szCs w:val="22"/>
          <w:highlight w:val="lightGray"/>
        </w:rPr>
        <w:t xml:space="preserve">showing 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ontractor's obligations relating to insurance are fully respected</w:t>
      </w:r>
      <w:r w:rsidRPr="003D6B6C">
        <w:rPr>
          <w:rFonts w:ascii="Times New Roman" w:hAnsi="Times New Roman"/>
          <w:sz w:val="22"/>
          <w:szCs w:val="22"/>
        </w:rPr>
        <w:t>. ]</w:t>
      </w:r>
    </w:p>
    <w:p w14:paraId="30644BF7" w14:textId="1F9D849D" w:rsidR="00E76535" w:rsidRPr="003D6B6C" w:rsidRDefault="003D6B6C" w:rsidP="00030561">
      <w:pPr>
        <w:ind w:left="1843" w:hanging="1843"/>
        <w:jc w:val="both"/>
        <w:rPr>
          <w:sz w:val="22"/>
          <w:szCs w:val="22"/>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b), paragraph 2</w:t>
      </w:r>
    </w:p>
    <w:p w14:paraId="12C30293"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10"/>
      <w:r w:rsidR="0086688D" w:rsidRPr="003D6B6C">
        <w:rPr>
          <w:rFonts w:ascii="Times New Roman" w:hAnsi="Times New Roman"/>
          <w:b/>
          <w:sz w:val="24"/>
          <w:szCs w:val="24"/>
        </w:rPr>
        <w:t>Programme of implementation of tasks</w:t>
      </w:r>
    </w:p>
    <w:p w14:paraId="5E466B96" w14:textId="77777777"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6858D9">
        <w:rPr>
          <w:rFonts w:ascii="Times New Roman" w:hAnsi="Times New Roman"/>
          <w:sz w:val="22"/>
          <w:szCs w:val="22"/>
        </w:rPr>
        <w:t>[</w:t>
      </w:r>
      <w:r w:rsidR="006858D9" w:rsidRPr="00F017DE">
        <w:rPr>
          <w:rFonts w:ascii="Times New Roman" w:hAnsi="Times New Roman"/>
          <w:sz w:val="22"/>
          <w:szCs w:val="22"/>
          <w:highlight w:val="yellow"/>
        </w:rPr>
        <w:t>If required</w:t>
      </w:r>
      <w:r w:rsidR="006858D9">
        <w:rPr>
          <w:rFonts w:ascii="Times New Roman" w:hAnsi="Times New Roman"/>
          <w:sz w:val="22"/>
          <w:szCs w:val="22"/>
        </w:rPr>
        <w:t xml:space="preserve"> </w:t>
      </w:r>
      <w:r w:rsidR="0047783A" w:rsidRPr="003D6B6C">
        <w:rPr>
          <w:rFonts w:ascii="Times New Roman" w:hAnsi="Times New Roman"/>
          <w:sz w:val="22"/>
          <w:szCs w:val="22"/>
        </w:rPr>
        <w:t>&lt;</w:t>
      </w:r>
      <w:r w:rsidR="001020D9">
        <w:rPr>
          <w:rFonts w:ascii="Times New Roman" w:hAnsi="Times New Roman"/>
          <w:sz w:val="22"/>
          <w:szCs w:val="22"/>
          <w:highlight w:val="yellow"/>
        </w:rPr>
        <w:t>s</w:t>
      </w:r>
      <w:r w:rsidR="0047783A" w:rsidRPr="003D6B6C">
        <w:rPr>
          <w:rFonts w:ascii="Times New Roman" w:hAnsi="Times New Roman"/>
          <w:sz w:val="22"/>
          <w:szCs w:val="22"/>
          <w:highlight w:val="yellow"/>
        </w:rPr>
        <w:t xml:space="preserve">pecify the </w:t>
      </w:r>
      <w:r w:rsidR="00D662AA" w:rsidRPr="003D6B6C">
        <w:rPr>
          <w:rFonts w:ascii="Times New Roman" w:hAnsi="Times New Roman"/>
          <w:sz w:val="22"/>
          <w:szCs w:val="22"/>
          <w:highlight w:val="yellow"/>
        </w:rPr>
        <w:t>timetable for</w:t>
      </w:r>
      <w:r w:rsidR="0047783A" w:rsidRPr="003D6B6C">
        <w:rPr>
          <w:rFonts w:ascii="Times New Roman" w:hAnsi="Times New Roman"/>
          <w:sz w:val="22"/>
          <w:szCs w:val="22"/>
          <w:highlight w:val="yellow"/>
        </w:rPr>
        <w:t xml:space="preserve"> </w:t>
      </w:r>
      <w:r w:rsidR="005B0129" w:rsidRPr="003D6B6C">
        <w:rPr>
          <w:rFonts w:ascii="Times New Roman" w:hAnsi="Times New Roman"/>
          <w:sz w:val="22"/>
          <w:szCs w:val="22"/>
          <w:highlight w:val="yellow"/>
        </w:rPr>
        <w:t xml:space="preserve">submission and approval of the programme of </w:t>
      </w:r>
      <w:r w:rsidR="0047783A" w:rsidRPr="003D6B6C">
        <w:rPr>
          <w:rFonts w:ascii="Times New Roman" w:hAnsi="Times New Roman"/>
          <w:sz w:val="22"/>
          <w:szCs w:val="22"/>
          <w:highlight w:val="yellow"/>
        </w:rPr>
        <w:t>implementation of the tasks</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with dates and deadlines</w:t>
      </w:r>
      <w:r w:rsidR="0047783A" w:rsidRPr="003D6B6C">
        <w:rPr>
          <w:rFonts w:ascii="Times New Roman" w:hAnsi="Times New Roman"/>
          <w:sz w:val="22"/>
          <w:szCs w:val="22"/>
        </w:rPr>
        <w:t>&gt;</w:t>
      </w:r>
      <w:r w:rsidR="006858D9">
        <w:rPr>
          <w:rFonts w:ascii="Times New Roman" w:hAnsi="Times New Roman"/>
          <w:sz w:val="22"/>
          <w:szCs w:val="22"/>
        </w:rPr>
        <w:t>]</w:t>
      </w:r>
    </w:p>
    <w:p w14:paraId="4E9A3D72"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1"/>
    </w:p>
    <w:p w14:paraId="0E342418"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the drawings and</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or samples required from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ontractor, the procedures for approving them and </w:t>
      </w:r>
      <w:r w:rsidR="00D662AA" w:rsidRPr="003D6B6C">
        <w:rPr>
          <w:rFonts w:ascii="Times New Roman" w:hAnsi="Times New Roman"/>
          <w:sz w:val="22"/>
          <w:szCs w:val="22"/>
          <w:highlight w:val="yellow"/>
        </w:rPr>
        <w:t xml:space="preserve">any </w:t>
      </w:r>
      <w:r w:rsidR="0047783A" w:rsidRPr="003D6B6C">
        <w:rPr>
          <w:rFonts w:ascii="Times New Roman" w:hAnsi="Times New Roman"/>
          <w:sz w:val="22"/>
          <w:szCs w:val="22"/>
          <w:highlight w:val="yellow"/>
        </w:rPr>
        <w:t>requirements relating to manuals</w:t>
      </w:r>
      <w:r w:rsidR="00D662AA" w:rsidRPr="003D6B6C">
        <w:rPr>
          <w:rFonts w:ascii="Times New Roman" w:hAnsi="Times New Roman"/>
          <w:sz w:val="22"/>
          <w:szCs w:val="22"/>
        </w:rPr>
        <w:t>.</w:t>
      </w:r>
      <w:r w:rsidR="0047783A" w:rsidRPr="003D6B6C">
        <w:rPr>
          <w:rFonts w:ascii="Times New Roman" w:hAnsi="Times New Roman"/>
          <w:sz w:val="22"/>
          <w:szCs w:val="22"/>
        </w:rPr>
        <w:t>&gt;</w:t>
      </w:r>
    </w:p>
    <w:p w14:paraId="015972DB"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2"/>
      <w:r w:rsidRPr="003D6B6C">
        <w:rPr>
          <w:rFonts w:ascii="Times New Roman" w:hAnsi="Times New Roman"/>
          <w:b/>
          <w:sz w:val="24"/>
          <w:szCs w:val="24"/>
        </w:rPr>
        <w:tab/>
      </w:r>
    </w:p>
    <w:p w14:paraId="5F97EFA2"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additional provisions regarding Article 15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onditions </w:t>
      </w:r>
      <w:r w:rsidR="0047783A" w:rsidRPr="003D6B6C">
        <w:rPr>
          <w:rFonts w:ascii="Times New Roman" w:hAnsi="Times New Roman"/>
          <w:sz w:val="22"/>
          <w:szCs w:val="22"/>
        </w:rPr>
        <w:t>&gt;</w:t>
      </w:r>
    </w:p>
    <w:p w14:paraId="62D0FCE8"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06833A89" w14:textId="77777777"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CD68C0" w:rsidRPr="003D6B6C">
        <w:rPr>
          <w:rFonts w:ascii="Times New Roman" w:hAnsi="Times New Roman"/>
          <w:sz w:val="22"/>
          <w:szCs w:val="22"/>
          <w:highlight w:val="yellow"/>
        </w:rPr>
        <w:t xml:space="preserve">&lt;Specify if the delivery conditions are DAP instead of DDP as mentioned in the </w:t>
      </w:r>
      <w:r w:rsidR="00F60098">
        <w:rPr>
          <w:rFonts w:ascii="Times New Roman" w:hAnsi="Times New Roman"/>
          <w:sz w:val="22"/>
          <w:szCs w:val="22"/>
          <w:highlight w:val="yellow"/>
        </w:rPr>
        <w:t>general conditions</w:t>
      </w:r>
      <w:r w:rsidR="004520DC" w:rsidRPr="003D6B6C">
        <w:rPr>
          <w:rFonts w:ascii="Times New Roman" w:hAnsi="Times New Roman"/>
          <w:sz w:val="22"/>
          <w:szCs w:val="22"/>
          <w:highlight w:val="yellow"/>
        </w:rPr>
        <w:t>&gt;</w:t>
      </w:r>
      <w:r w:rsidR="00CD68C0" w:rsidRPr="003D6B6C">
        <w:rPr>
          <w:rFonts w:ascii="Times New Roman" w:hAnsi="Times New Roman"/>
          <w:sz w:val="22"/>
          <w:szCs w:val="22"/>
          <w:highlight w:val="yellow"/>
        </w:rPr>
        <w:t xml:space="preserve"> </w:t>
      </w:r>
    </w:p>
    <w:p w14:paraId="73693C9C"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3"/>
    </w:p>
    <w:p w14:paraId="27471845"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w:t>
      </w:r>
      <w:r w:rsidR="0047783A" w:rsidRPr="003D6B6C">
        <w:rPr>
          <w:rFonts w:ascii="Times New Roman" w:hAnsi="Times New Roman"/>
          <w:i/>
          <w:sz w:val="22"/>
          <w:szCs w:val="22"/>
          <w:highlight w:val="yellow"/>
        </w:rPr>
        <w:t xml:space="preserve"> </w:t>
      </w:r>
      <w:r w:rsidR="0047783A" w:rsidRPr="003D6B6C">
        <w:rPr>
          <w:rFonts w:ascii="Times New Roman" w:hAnsi="Times New Roman"/>
          <w:sz w:val="22"/>
          <w:szCs w:val="22"/>
          <w:highlight w:val="yellow"/>
        </w:rPr>
        <w:t xml:space="preserve">whether there is a derogation from Article 17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w:t>
      </w:r>
      <w:r w:rsidR="0047783A" w:rsidRPr="003D6B6C">
        <w:rPr>
          <w:rFonts w:ascii="Times New Roman" w:hAnsi="Times New Roman"/>
          <w:sz w:val="22"/>
          <w:szCs w:val="22"/>
        </w:rPr>
        <w:t>&gt;</w:t>
      </w:r>
    </w:p>
    <w:p w14:paraId="6D7AE29C" w14:textId="77777777" w:rsidR="00EB32E9" w:rsidRPr="003D6B6C" w:rsidRDefault="0047783A" w:rsidP="00B34179">
      <w:pPr>
        <w:spacing w:before="240"/>
        <w:ind w:left="1134" w:hanging="1134"/>
        <w:jc w:val="both"/>
        <w:rPr>
          <w:rFonts w:ascii="Times New Roman" w:hAnsi="Times New Roman"/>
          <w:b/>
          <w:sz w:val="24"/>
          <w:szCs w:val="24"/>
        </w:rPr>
      </w:pPr>
      <w:bookmarkStart w:id="14"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4"/>
      <w:r w:rsidR="00EB32E9" w:rsidRPr="003D6B6C">
        <w:rPr>
          <w:rFonts w:ascii="Times New Roman" w:hAnsi="Times New Roman"/>
          <w:b/>
          <w:sz w:val="24"/>
          <w:szCs w:val="24"/>
        </w:rPr>
        <w:t xml:space="preserve"> </w:t>
      </w:r>
    </w:p>
    <w:p w14:paraId="1E5468D2" w14:textId="77777777" w:rsidR="0047783A" w:rsidRPr="003D6B6C"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49293D">
        <w:rPr>
          <w:rFonts w:ascii="Times New Roman" w:hAnsi="Times New Roman"/>
          <w:b/>
          <w:sz w:val="22"/>
          <w:szCs w:val="22"/>
        </w:rPr>
        <w:t>[</w:t>
      </w:r>
      <w:r w:rsidRPr="003D6B6C">
        <w:rPr>
          <w:rFonts w:ascii="Times New Roman" w:hAnsi="Times New Roman"/>
          <w:sz w:val="22"/>
          <w:szCs w:val="22"/>
        </w:rPr>
        <w:t>&lt;</w:t>
      </w:r>
      <w:r w:rsidRPr="003D6B6C">
        <w:rPr>
          <w:rFonts w:ascii="Times New Roman" w:hAnsi="Times New Roman"/>
          <w:sz w:val="22"/>
          <w:szCs w:val="22"/>
          <w:highlight w:val="yellow"/>
        </w:rPr>
        <w:t>Specify the date on which implementation of the tasks is to commence</w:t>
      </w:r>
      <w:r w:rsidRPr="003D6B6C">
        <w:rPr>
          <w:rFonts w:ascii="Times New Roman" w:hAnsi="Times New Roman"/>
          <w:sz w:val="22"/>
          <w:szCs w:val="22"/>
        </w:rPr>
        <w:t>&gt;</w:t>
      </w:r>
      <w:r w:rsidR="0049293D">
        <w:rPr>
          <w:rFonts w:ascii="Times New Roman" w:hAnsi="Times New Roman"/>
          <w:sz w:val="22"/>
          <w:szCs w:val="22"/>
        </w:rPr>
        <w:t>]</w:t>
      </w:r>
    </w:p>
    <w:p w14:paraId="2745F45E" w14:textId="77777777" w:rsidR="00EB32E9" w:rsidRPr="003D6B6C" w:rsidRDefault="00EB32E9" w:rsidP="005D03AA">
      <w:pPr>
        <w:ind w:left="1134"/>
        <w:jc w:val="both"/>
        <w:rPr>
          <w:rFonts w:ascii="Times New Roman" w:hAnsi="Times New Roman"/>
          <w:sz w:val="22"/>
          <w:szCs w:val="22"/>
        </w:rPr>
      </w:pPr>
      <w:r w:rsidRPr="003D6B6C">
        <w:rPr>
          <w:rFonts w:ascii="Times New Roman" w:hAnsi="Times New Roman"/>
          <w:sz w:val="22"/>
          <w:szCs w:val="22"/>
          <w:highlight w:val="yellow"/>
        </w:rPr>
        <w:t>Or</w:t>
      </w:r>
      <w:r w:rsidRPr="003D6B6C">
        <w:rPr>
          <w:rFonts w:ascii="Times New Roman" w:hAnsi="Times New Roman"/>
          <w:sz w:val="22"/>
          <w:szCs w:val="22"/>
        </w:rPr>
        <w:t xml:space="preserve"> </w:t>
      </w:r>
    </w:p>
    <w:p w14:paraId="41BC76D7" w14:textId="77777777"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t>[</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w:t>
      </w:r>
      <w:r w:rsidR="00551543" w:rsidRPr="00F017DE">
        <w:rPr>
          <w:rFonts w:ascii="Times New Roman" w:hAnsi="Times New Roman"/>
          <w:sz w:val="22"/>
          <w:szCs w:val="22"/>
          <w:highlight w:val="lightGray"/>
        </w:rPr>
        <w:t>sha</w:t>
      </w:r>
      <w:r w:rsidRPr="00F017DE">
        <w:rPr>
          <w:rFonts w:ascii="Times New Roman" w:hAnsi="Times New Roman"/>
          <w:sz w:val="22"/>
          <w:szCs w:val="22"/>
          <w:highlight w:val="lightGray"/>
        </w:rPr>
        <w:t xml:space="preserve">ll inform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 xml:space="preserve">by administrative order </w:t>
      </w:r>
      <w:r w:rsidRPr="00F017DE">
        <w:rPr>
          <w:rFonts w:ascii="Times New Roman" w:hAnsi="Times New Roman"/>
          <w:sz w:val="22"/>
          <w:szCs w:val="22"/>
          <w:highlight w:val="lightGray"/>
        </w:rPr>
        <w:t>of the date on which implementation of the tasks shall begin</w:t>
      </w:r>
      <w:r w:rsidR="00551543" w:rsidRPr="00F017DE">
        <w:rPr>
          <w:rFonts w:ascii="Times New Roman" w:hAnsi="Times New Roman"/>
          <w:sz w:val="22"/>
          <w:szCs w:val="22"/>
          <w:highlight w:val="lightGray"/>
        </w:rPr>
        <w:t>.</w:t>
      </w:r>
      <w:r w:rsidRPr="003D6B6C">
        <w:rPr>
          <w:rFonts w:ascii="Times New Roman" w:hAnsi="Times New Roman"/>
          <w:sz w:val="22"/>
          <w:szCs w:val="22"/>
        </w:rPr>
        <w:t>]</w:t>
      </w:r>
    </w:p>
    <w:p w14:paraId="7627F4E3"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5"/>
      <w:r w:rsidRPr="003D6B6C">
        <w:rPr>
          <w:rFonts w:ascii="Times New Roman" w:hAnsi="Times New Roman"/>
          <w:b/>
          <w:sz w:val="24"/>
          <w:szCs w:val="24"/>
        </w:rPr>
        <w:t xml:space="preserve"> of the tasks</w:t>
      </w:r>
    </w:p>
    <w:p w14:paraId="75EAA00C" w14:textId="77777777"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 xml:space="preserve">Specify the implementation period(s) of the tasks in calendar days </w:t>
      </w:r>
      <w:r w:rsidR="00E0295D" w:rsidRPr="003D6B6C">
        <w:rPr>
          <w:rFonts w:ascii="Times New Roman" w:hAnsi="Times New Roman"/>
          <w:sz w:val="22"/>
          <w:szCs w:val="22"/>
          <w:highlight w:val="yellow"/>
        </w:rPr>
        <w:t xml:space="preserve">in relation </w:t>
      </w:r>
      <w:r w:rsidRPr="003D6B6C">
        <w:rPr>
          <w:rFonts w:ascii="Times New Roman" w:hAnsi="Times New Roman"/>
          <w:sz w:val="22"/>
          <w:szCs w:val="22"/>
          <w:highlight w:val="yellow"/>
        </w:rPr>
        <w:t xml:space="preserve">to the date stipulated in the previous </w:t>
      </w:r>
      <w:r w:rsidR="00F60098">
        <w:rPr>
          <w:rFonts w:ascii="Times New Roman" w:hAnsi="Times New Roman"/>
          <w:sz w:val="22"/>
          <w:szCs w:val="22"/>
          <w:highlight w:val="yellow"/>
        </w:rPr>
        <w:t>a</w:t>
      </w:r>
      <w:r w:rsidRPr="003D6B6C">
        <w:rPr>
          <w:rFonts w:ascii="Times New Roman" w:hAnsi="Times New Roman"/>
          <w:sz w:val="22"/>
          <w:szCs w:val="22"/>
          <w:highlight w:val="yellow"/>
        </w:rPr>
        <w:t>rticle</w:t>
      </w:r>
      <w:r w:rsidRPr="003D6B6C">
        <w:rPr>
          <w:rFonts w:ascii="Times New Roman" w:hAnsi="Times New Roman"/>
          <w:sz w:val="22"/>
          <w:szCs w:val="22"/>
        </w:rPr>
        <w:t>&gt;</w:t>
      </w:r>
    </w:p>
    <w:p w14:paraId="450AE8AA"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0"/>
      <w:r w:rsidRPr="003D6B6C">
        <w:rPr>
          <w:rFonts w:ascii="Times New Roman" w:hAnsi="Times New Roman"/>
          <w:b/>
          <w:sz w:val="24"/>
          <w:szCs w:val="24"/>
        </w:rPr>
        <w:lastRenderedPageBreak/>
        <w:t>Article 24</w:t>
      </w:r>
      <w:r w:rsidRPr="003D6B6C">
        <w:rPr>
          <w:rFonts w:ascii="Times New Roman" w:hAnsi="Times New Roman"/>
          <w:b/>
          <w:sz w:val="24"/>
          <w:szCs w:val="24"/>
        </w:rPr>
        <w:tab/>
        <w:t>Quality of supplies</w:t>
      </w:r>
      <w:bookmarkEnd w:id="16"/>
    </w:p>
    <w:p w14:paraId="4E8CA8C9"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t>&lt;</w:t>
      </w:r>
      <w:r w:rsidR="001020D9">
        <w:rPr>
          <w:rFonts w:ascii="Times New Roman" w:hAnsi="Times New Roman"/>
          <w:sz w:val="22"/>
          <w:szCs w:val="22"/>
          <w:highlight w:val="yellow"/>
        </w:rPr>
        <w:t>I</w:t>
      </w:r>
      <w:r w:rsidR="0047783A" w:rsidRPr="003D6B6C">
        <w:rPr>
          <w:rFonts w:ascii="Times New Roman" w:hAnsi="Times New Roman"/>
          <w:sz w:val="22"/>
          <w:szCs w:val="22"/>
          <w:highlight w:val="yellow"/>
        </w:rPr>
        <w:t>ndicate here if a preliminary technical acceptance is required</w:t>
      </w:r>
      <w:r w:rsidR="0047783A" w:rsidRPr="003D6B6C">
        <w:rPr>
          <w:rFonts w:ascii="Times New Roman" w:hAnsi="Times New Roman"/>
          <w:sz w:val="22"/>
          <w:szCs w:val="22"/>
        </w:rPr>
        <w:t>&gt;</w:t>
      </w:r>
    </w:p>
    <w:p w14:paraId="0533F77F"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7"/>
    </w:p>
    <w:p w14:paraId="35AA79C3" w14:textId="77777777"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47783A" w:rsidRPr="003D6B6C">
        <w:rPr>
          <w:rFonts w:ascii="Times New Roman" w:hAnsi="Times New Roman"/>
          <w:bCs/>
          <w:sz w:val="22"/>
          <w:szCs w:val="22"/>
        </w:rPr>
        <w:t>&lt;</w:t>
      </w:r>
      <w:r w:rsidR="0047783A" w:rsidRPr="003D6B6C">
        <w:rPr>
          <w:rFonts w:ascii="Times New Roman" w:hAnsi="Times New Roman"/>
          <w:sz w:val="22"/>
          <w:szCs w:val="22"/>
          <w:highlight w:val="yellow"/>
        </w:rPr>
        <w:t xml:space="preserve">Specify the places/goods to be inspected and tested in accordance with Article 25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 and the practical arrangements for testing</w:t>
      </w:r>
      <w:r w:rsidR="0047783A" w:rsidRPr="003D6B6C">
        <w:rPr>
          <w:rFonts w:ascii="Times New Roman" w:hAnsi="Times New Roman"/>
          <w:bCs/>
          <w:sz w:val="22"/>
          <w:szCs w:val="22"/>
        </w:rPr>
        <w:t>&gt;</w:t>
      </w:r>
    </w:p>
    <w:p w14:paraId="680DF146"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8"/>
      <w:r w:rsidR="005B0129" w:rsidRPr="003D6B6C">
        <w:rPr>
          <w:rFonts w:ascii="Times New Roman" w:hAnsi="Times New Roman"/>
          <w:b/>
          <w:sz w:val="24"/>
          <w:szCs w:val="24"/>
        </w:rPr>
        <w:t>General principles for payments</w:t>
      </w:r>
    </w:p>
    <w:p w14:paraId="79EDF68C" w14:textId="77777777"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Pr="00F017DE">
        <w:rPr>
          <w:rFonts w:ascii="Times New Roman" w:hAnsi="Times New Roman"/>
          <w:sz w:val="22"/>
          <w:szCs w:val="22"/>
          <w:highlight w:val="lightGray"/>
        </w:rPr>
        <w:t>euro</w:t>
      </w:r>
      <w:r w:rsidR="00AB3AB0" w:rsidRPr="00F017DE">
        <w:rPr>
          <w:rFonts w:ascii="Times New Roman" w:hAnsi="Times New Roman"/>
          <w:sz w:val="22"/>
          <w:szCs w:val="22"/>
          <w:highlight w:val="lightGray"/>
        </w:rPr>
        <w:t>s</w:t>
      </w:r>
      <w:r w:rsidR="0049293D">
        <w:rPr>
          <w:rFonts w:ascii="Times New Roman" w:hAnsi="Times New Roman"/>
          <w:sz w:val="22"/>
          <w:szCs w:val="22"/>
        </w:rPr>
        <w:t>]</w:t>
      </w:r>
      <w:r w:rsidR="0000334D">
        <w:rPr>
          <w:rFonts w:ascii="Times New Roman" w:hAnsi="Times New Roman"/>
          <w:sz w:val="22"/>
          <w:szCs w:val="22"/>
        </w:rPr>
        <w:t xml:space="preserve"> </w:t>
      </w:r>
      <w:r w:rsidR="005772F7" w:rsidRPr="00090987">
        <w:rPr>
          <w:rFonts w:ascii="Times New Roman" w:hAnsi="Times New Roman"/>
          <w:sz w:val="22"/>
          <w:szCs w:val="22"/>
          <w:highlight w:val="lightGray"/>
        </w:rPr>
        <w:t>[&lt;</w:t>
      </w:r>
      <w:r w:rsidR="005772F7" w:rsidRPr="00090987">
        <w:rPr>
          <w:rFonts w:ascii="Times New Roman" w:hAnsi="Times New Roman"/>
          <w:sz w:val="22"/>
          <w:szCs w:val="22"/>
          <w:highlight w:val="yellow"/>
        </w:rPr>
        <w:t>ISO code of national currency</w:t>
      </w:r>
      <w:r w:rsidR="005772F7" w:rsidRPr="00090987">
        <w:rPr>
          <w:rFonts w:ascii="Times New Roman" w:hAnsi="Times New Roman"/>
          <w:sz w:val="22"/>
          <w:szCs w:val="22"/>
          <w:highlight w:val="lightGray"/>
        </w:rPr>
        <w:t>&gt;</w:t>
      </w:r>
      <w:r w:rsidR="005772F7" w:rsidRPr="00090987">
        <w:rPr>
          <w:rFonts w:ascii="Times New Roman" w:hAnsi="Times New Roman"/>
          <w:sz w:val="22"/>
          <w:szCs w:val="22"/>
          <w:highlight w:val="yellow"/>
        </w:rPr>
        <w:t xml:space="preserve">only for indirect management in the following cases: (i) when legal or local constraints exceptionally impose using the national currency; (ii) </w:t>
      </w:r>
      <w:r w:rsidR="0053480C" w:rsidRPr="0053480C">
        <w:rPr>
          <w:rFonts w:ascii="Times New Roman" w:hAnsi="Times New Roman"/>
          <w:sz w:val="22"/>
          <w:szCs w:val="22"/>
          <w:highlight w:val="yellow"/>
        </w:rPr>
        <w:t>when needed</w:t>
      </w:r>
      <w:r w:rsidR="00CD6FC9" w:rsidRPr="0053480C">
        <w:rPr>
          <w:rFonts w:ascii="Times New Roman" w:hAnsi="Times New Roman"/>
          <w:sz w:val="22"/>
          <w:szCs w:val="22"/>
          <w:highlight w:val="yellow"/>
        </w:rPr>
        <w:t xml:space="preserve">, </w:t>
      </w:r>
      <w:r w:rsidR="005772F7" w:rsidRPr="00090987">
        <w:rPr>
          <w:rFonts w:ascii="Times New Roman" w:hAnsi="Times New Roman"/>
          <w:sz w:val="22"/>
          <w:szCs w:val="22"/>
          <w:highlight w:val="yellow"/>
        </w:rPr>
        <w:t>for contracts within the imprest component of a programme estimate</w:t>
      </w:r>
      <w:r w:rsidR="0049293D" w:rsidRPr="00797C04">
        <w:rPr>
          <w:rFonts w:ascii="Times New Roman" w:hAnsi="Times New Roman"/>
          <w:sz w:val="22"/>
          <w:szCs w:val="22"/>
          <w:highlight w:val="yellow"/>
        </w:rPr>
        <w:t>]</w:t>
      </w:r>
      <w:r w:rsidRPr="00797C04">
        <w:rPr>
          <w:rFonts w:ascii="Times New Roman" w:hAnsi="Times New Roman"/>
          <w:sz w:val="22"/>
          <w:szCs w:val="22"/>
          <w:highlight w:val="yellow"/>
        </w:rPr>
        <w:t>.</w:t>
      </w:r>
    </w:p>
    <w:p w14:paraId="39185D2F" w14:textId="77777777" w:rsidR="0047783A" w:rsidRPr="003D6B6C" w:rsidRDefault="0047783A" w:rsidP="005D03AA">
      <w:pPr>
        <w:tabs>
          <w:tab w:val="right" w:pos="9885"/>
        </w:tabs>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administrative or technical conditions governing payment of pre-financing and final payments</w:t>
      </w:r>
      <w:r w:rsidRPr="003D6B6C">
        <w:rPr>
          <w:rFonts w:ascii="Times New Roman" w:hAnsi="Times New Roman"/>
          <w:sz w:val="22"/>
          <w:szCs w:val="22"/>
        </w:rPr>
        <w:t>&gt;</w:t>
      </w:r>
      <w:r w:rsidR="00C70E2C">
        <w:rPr>
          <w:rFonts w:ascii="Times New Roman" w:hAnsi="Times New Roman"/>
          <w:sz w:val="22"/>
          <w:szCs w:val="22"/>
        </w:rPr>
        <w:t xml:space="preserve"> </w:t>
      </w:r>
    </w:p>
    <w:p w14:paraId="76BBA585" w14:textId="77777777"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 &lt;</w:t>
      </w:r>
      <w:r w:rsidRPr="003D6B6C">
        <w:rPr>
          <w:rFonts w:ascii="Times New Roman" w:hAnsi="Times New Roman"/>
          <w:sz w:val="22"/>
          <w:szCs w:val="22"/>
          <w:highlight w:val="yellow"/>
        </w:rPr>
        <w:t>give the address of the relevant unit and any other relevant information</w:t>
      </w:r>
      <w:r w:rsidRPr="003D6B6C">
        <w:rPr>
          <w:rFonts w:ascii="Times New Roman" w:hAnsi="Times New Roman"/>
          <w:sz w:val="22"/>
          <w:szCs w:val="22"/>
        </w:rPr>
        <w:t>&gt;.</w:t>
      </w:r>
    </w:p>
    <w:p w14:paraId="17C9CA2B" w14:textId="77777777"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In the case of </w:t>
      </w:r>
      <w:r w:rsidR="001A6941" w:rsidRPr="003D6B6C">
        <w:rPr>
          <w:rFonts w:ascii="Times New Roman" w:hAnsi="Times New Roman"/>
          <w:sz w:val="22"/>
          <w:szCs w:val="22"/>
          <w:highlight w:val="lightGray"/>
        </w:rPr>
        <w:t>indirect management</w:t>
      </w:r>
      <w:r w:rsidRPr="003D6B6C">
        <w:rPr>
          <w:rFonts w:ascii="Times New Roman" w:hAnsi="Times New Roman"/>
          <w:sz w:val="22"/>
          <w:szCs w:val="22"/>
          <w:highlight w:val="lightGray"/>
        </w:rPr>
        <w:t xml:space="preserve"> ex ante procedure</w:t>
      </w:r>
      <w:r w:rsidR="00AB3AB0" w:rsidRPr="003D6B6C">
        <w:rPr>
          <w:rFonts w:ascii="Times New Roman" w:hAnsi="Times New Roman"/>
          <w:sz w:val="22"/>
          <w:szCs w:val="22"/>
          <w:highlight w:val="lightGray"/>
        </w:rPr>
        <w:t>s</w:t>
      </w:r>
      <w:r w:rsidRPr="003D6B6C">
        <w:rPr>
          <w:rFonts w:ascii="Times New Roman" w:hAnsi="Times New Roman"/>
          <w:sz w:val="22"/>
          <w:szCs w:val="22"/>
          <w:highlight w:val="lightGray"/>
        </w:rPr>
        <w:t xml:space="preserve"> and where invoices are presented to the authorities of the country of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3D6B6C">
        <w:rPr>
          <w:rFonts w:ascii="Times New Roman" w:hAnsi="Times New Roman"/>
          <w:sz w:val="22"/>
          <w:szCs w:val="22"/>
          <w:highlight w:val="lightGray"/>
        </w:rPr>
        <w:t xml:space="preserve">uthority,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ontractor must inform the European Commission at &lt;</w:t>
      </w:r>
      <w:r w:rsidRPr="00F017DE">
        <w:rPr>
          <w:rFonts w:ascii="Times New Roman" w:hAnsi="Times New Roman"/>
          <w:sz w:val="22"/>
          <w:szCs w:val="22"/>
          <w:highlight w:val="yellow"/>
        </w:rPr>
        <w:t>enter address of the unit in charge if this option is used</w:t>
      </w:r>
      <w:r w:rsidRPr="003D6B6C">
        <w:rPr>
          <w:rFonts w:ascii="Times New Roman" w:hAnsi="Times New Roman"/>
          <w:sz w:val="22"/>
          <w:szCs w:val="22"/>
          <w:highlight w:val="lightGray"/>
        </w:rPr>
        <w:t>&gt;, thereof by sending a copy of the correspondence</w:t>
      </w:r>
      <w:r w:rsidRPr="003D6B6C">
        <w:rPr>
          <w:rFonts w:ascii="Times New Roman" w:hAnsi="Times New Roman"/>
          <w:sz w:val="22"/>
          <w:szCs w:val="22"/>
        </w:rPr>
        <w:t>.</w:t>
      </w:r>
      <w:r w:rsidR="0049293D">
        <w:rPr>
          <w:rFonts w:ascii="Times New Roman" w:hAnsi="Times New Roman"/>
          <w:sz w:val="22"/>
          <w:szCs w:val="22"/>
        </w:rPr>
        <w:t>]</w:t>
      </w:r>
    </w:p>
    <w:p w14:paraId="335D87FF" w14:textId="77777777" w:rsidR="00BD2F43" w:rsidRPr="003D6B6C" w:rsidRDefault="006D5CEE" w:rsidP="00833EB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BD2F43"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under </w:t>
      </w:r>
      <w:r w:rsidR="008733D3" w:rsidRPr="003D6B6C">
        <w:rPr>
          <w:rFonts w:ascii="Times New Roman" w:hAnsi="Times New Roman"/>
          <w:sz w:val="22"/>
          <w:szCs w:val="22"/>
          <w:highlight w:val="yellow"/>
        </w:rPr>
        <w:t>10</w:t>
      </w:r>
      <w:r w:rsidR="008733D3" w:rsidRPr="003D6B6C">
        <w:rPr>
          <w:rFonts w:ascii="Times New Roman" w:hAnsi="Times New Roman"/>
          <w:sz w:val="22"/>
          <w:szCs w:val="22"/>
          <w:highlight w:val="yellow"/>
          <w:vertAlign w:val="superscript"/>
        </w:rPr>
        <w:t>th</w:t>
      </w:r>
      <w:r w:rsidR="008733D3" w:rsidRPr="003D6B6C">
        <w:rPr>
          <w:rFonts w:ascii="Times New Roman" w:hAnsi="Times New Roman"/>
          <w:sz w:val="22"/>
          <w:szCs w:val="22"/>
        </w:rPr>
        <w:t xml:space="preserve"> </w:t>
      </w:r>
      <w:r w:rsidR="00BD2F43" w:rsidRPr="003D6B6C">
        <w:rPr>
          <w:rFonts w:ascii="Times New Roman" w:hAnsi="Times New Roman"/>
          <w:sz w:val="22"/>
          <w:szCs w:val="22"/>
          <w:highlight w:val="yellow"/>
        </w:rPr>
        <w:t>EDF only</w:t>
      </w:r>
      <w:r w:rsidR="00BD2F43" w:rsidRPr="003D6B6C">
        <w:rPr>
          <w:rFonts w:ascii="Times New Roman" w:hAnsi="Times New Roman"/>
          <w:sz w:val="22"/>
          <w:szCs w:val="22"/>
        </w:rPr>
        <w:t xml:space="preserve">: </w:t>
      </w:r>
      <w:r w:rsidR="00BD2F43" w:rsidRPr="00F017DE">
        <w:rPr>
          <w:rFonts w:ascii="Times New Roman" w:hAnsi="Times New Roman"/>
          <w:sz w:val="22"/>
          <w:szCs w:val="22"/>
          <w:highlight w:val="lightGray"/>
        </w:rPr>
        <w:t xml:space="preserve">By derogation, the pre-financing payments shall be made within 90 days from the date on which an admissible invoice is registered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uthority of an admissible invoice</w:t>
      </w:r>
      <w:r w:rsidR="00BD2F43" w:rsidRPr="003D6B6C">
        <w:rPr>
          <w:rFonts w:ascii="Times New Roman" w:hAnsi="Times New Roman"/>
          <w:sz w:val="22"/>
          <w:szCs w:val="22"/>
        </w:rPr>
        <w:t>.]</w:t>
      </w:r>
    </w:p>
    <w:p w14:paraId="26371A34" w14:textId="77777777" w:rsidR="006D5CEE" w:rsidRPr="003D6B6C" w:rsidRDefault="006D5CEE"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 xml:space="preserve">Contract in </w:t>
      </w:r>
      <w:r w:rsidR="00D23D4C" w:rsidRPr="003D6B6C">
        <w:rPr>
          <w:rFonts w:ascii="Times New Roman" w:hAnsi="Times New Roman"/>
          <w:sz w:val="22"/>
          <w:szCs w:val="22"/>
          <w:highlight w:val="yellow"/>
        </w:rPr>
        <w:t xml:space="preserve">indirect </w:t>
      </w:r>
      <w:r w:rsidRPr="003D6B6C">
        <w:rPr>
          <w:rFonts w:ascii="Times New Roman" w:hAnsi="Times New Roman"/>
          <w:sz w:val="22"/>
          <w:szCs w:val="22"/>
          <w:highlight w:val="yellow"/>
        </w:rPr>
        <w:t>management under</w:t>
      </w:r>
      <w:r w:rsidRPr="003D6B6C">
        <w:rPr>
          <w:rFonts w:ascii="Times New Roman" w:hAnsi="Times New Roman"/>
          <w:sz w:val="22"/>
          <w:szCs w:val="22"/>
        </w:rPr>
        <w:t xml:space="preserve"> </w:t>
      </w:r>
      <w:r w:rsidR="00216ADC">
        <w:rPr>
          <w:rFonts w:ascii="Times New Roman" w:hAnsi="Times New Roman"/>
          <w:sz w:val="22"/>
          <w:szCs w:val="22"/>
          <w:highlight w:val="yellow"/>
        </w:rPr>
        <w:t>the general b</w:t>
      </w:r>
      <w:r w:rsidR="00F60098">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invoice and of the application for the certificate of provisional acceptance</w:t>
      </w:r>
      <w:r w:rsidRPr="003D6B6C">
        <w:rPr>
          <w:rFonts w:ascii="Times New Roman" w:hAnsi="Times New Roman"/>
          <w:sz w:val="22"/>
          <w:szCs w:val="22"/>
        </w:rPr>
        <w:t>.]</w:t>
      </w:r>
    </w:p>
    <w:p w14:paraId="2AF50B31" w14:textId="77777777" w:rsidR="006D5CEE" w:rsidRPr="003D6B6C" w:rsidRDefault="00154F15" w:rsidP="0011156A">
      <w:pPr>
        <w:ind w:left="1134"/>
        <w:jc w:val="both"/>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w:t>
      </w:r>
      <w:r w:rsidRPr="003D6B6C">
        <w:rPr>
          <w:rFonts w:ascii="Times New Roman" w:hAnsi="Times New Roman"/>
          <w:sz w:val="22"/>
          <w:szCs w:val="22"/>
          <w:highlight w:val="yellow"/>
        </w:rPr>
        <w:t xml:space="preserve">in </w:t>
      </w:r>
      <w:r w:rsidR="00D23D4C" w:rsidRPr="003D6B6C">
        <w:rPr>
          <w:rFonts w:ascii="Times New Roman" w:hAnsi="Times New Roman"/>
          <w:sz w:val="22"/>
          <w:szCs w:val="22"/>
          <w:highlight w:val="yellow"/>
        </w:rPr>
        <w:t>indirect</w:t>
      </w:r>
      <w:r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45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14:paraId="15BB2986" w14:textId="77777777" w:rsidR="008733D3" w:rsidRPr="003D6B6C" w:rsidRDefault="008733D3"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in indirect management under 11th EDF only where the Commission executes payments</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pre-financing payment shall be made within 60 days from the date on which an admissible invoice is registered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14:paraId="4834C189"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0EAF8B8B" w14:textId="7DA6C0CB" w:rsidR="00E87734" w:rsidRDefault="00035D61" w:rsidP="00030561">
      <w:pPr>
        <w:ind w:left="1560" w:hanging="426"/>
        <w:jc w:val="both"/>
        <w:rPr>
          <w:rFonts w:ascii="Times New Roman" w:hAnsi="Times New Roman"/>
          <w:sz w:val="22"/>
          <w:szCs w:val="22"/>
          <w:highlight w:val="yellow"/>
        </w:rPr>
      </w:pPr>
      <w:r w:rsidRPr="003D6B6C">
        <w:rPr>
          <w:rFonts w:ascii="Times New Roman" w:hAnsi="Times New Roman"/>
          <w:sz w:val="22"/>
          <w:szCs w:val="22"/>
        </w:rPr>
        <w:t>a)</w:t>
      </w:r>
      <w:r w:rsidRPr="003D6B6C">
        <w:rPr>
          <w:rFonts w:ascii="Times New Roman" w:hAnsi="Times New Roman"/>
          <w:b/>
          <w:sz w:val="22"/>
          <w:szCs w:val="22"/>
        </w:rPr>
        <w:tab/>
      </w:r>
      <w:r w:rsidR="006219A1" w:rsidRPr="001F24F0">
        <w:rPr>
          <w:rFonts w:ascii="Times New Roman" w:hAnsi="Times New Roman"/>
          <w:sz w:val="22"/>
          <w:szCs w:val="22"/>
        </w:rPr>
        <w:t>For the 40% pre-financing</w:t>
      </w:r>
      <w:r w:rsidR="006219A1" w:rsidRPr="00F017DE">
        <w:rPr>
          <w:rFonts w:ascii="Times New Roman" w:hAnsi="Times New Roman"/>
          <w:sz w:val="22"/>
          <w:szCs w:val="22"/>
        </w:rPr>
        <w:t xml:space="preserve">, </w:t>
      </w:r>
    </w:p>
    <w:p w14:paraId="7F891488" w14:textId="77777777" w:rsidR="00695007" w:rsidRPr="003D6B6C" w:rsidRDefault="00695007" w:rsidP="00695007">
      <w:pPr>
        <w:spacing w:before="0" w:after="0"/>
        <w:ind w:left="1985"/>
        <w:jc w:val="both"/>
        <w:rPr>
          <w:rFonts w:ascii="Times New Roman" w:hAnsi="Times New Roman"/>
          <w:bCs/>
          <w:sz w:val="22"/>
          <w:szCs w:val="22"/>
        </w:rPr>
      </w:pPr>
      <w:r>
        <w:rPr>
          <w:rFonts w:ascii="Times New Roman" w:hAnsi="Times New Roman"/>
          <w:bCs/>
          <w:sz w:val="22"/>
          <w:szCs w:val="22"/>
          <w:highlight w:val="lightGray"/>
        </w:rPr>
        <w:lastRenderedPageBreak/>
        <w:t>[</w:t>
      </w:r>
      <w:r w:rsidRPr="003D6B6C">
        <w:rPr>
          <w:rFonts w:ascii="Times New Roman" w:hAnsi="Times New Roman"/>
          <w:bCs/>
          <w:sz w:val="22"/>
          <w:szCs w:val="22"/>
          <w:highlight w:val="lightGray"/>
        </w:rPr>
        <w:t xml:space="preserve">By derogation from article </w:t>
      </w:r>
      <w:r w:rsidRPr="003D6B6C">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onditions</w:t>
      </w:r>
      <w:r>
        <w:rPr>
          <w:rFonts w:ascii="Times New Roman" w:hAnsi="Times New Roman"/>
          <w:sz w:val="22"/>
          <w:szCs w:val="22"/>
          <w:highlight w:val="lightGray"/>
        </w:rPr>
        <w:t>,</w:t>
      </w:r>
      <w:r w:rsidRPr="003D6B6C">
        <w:rPr>
          <w:rFonts w:ascii="Times New Roman" w:hAnsi="Times New Roman"/>
          <w:sz w:val="22"/>
          <w:szCs w:val="22"/>
          <w:highlight w:val="lightGray"/>
        </w:rPr>
        <w:t xml:space="preserve"> </w:t>
      </w:r>
      <w:r w:rsidRPr="003D6B6C">
        <w:rPr>
          <w:rFonts w:ascii="Times New Roman" w:hAnsi="Times New Roman"/>
          <w:bCs/>
          <w:sz w:val="22"/>
          <w:szCs w:val="22"/>
          <w:highlight w:val="lightGray"/>
        </w:rPr>
        <w:t>no pre-financing guarantee is required</w:t>
      </w:r>
      <w:r w:rsidRPr="003D6B6C">
        <w:rPr>
          <w:rFonts w:ascii="Times New Roman" w:hAnsi="Times New Roman"/>
          <w:bCs/>
          <w:sz w:val="22"/>
          <w:szCs w:val="22"/>
        </w:rPr>
        <w:t>.]</w:t>
      </w:r>
    </w:p>
    <w:p w14:paraId="48E598B8" w14:textId="77777777" w:rsidR="00695007" w:rsidRPr="003D6B6C" w:rsidRDefault="00695007" w:rsidP="00035D61">
      <w:pPr>
        <w:spacing w:before="0" w:after="0"/>
        <w:ind w:left="1985" w:hanging="284"/>
        <w:jc w:val="both"/>
        <w:rPr>
          <w:rFonts w:ascii="Times New Roman" w:hAnsi="Times New Roman"/>
          <w:bCs/>
          <w:sz w:val="22"/>
          <w:szCs w:val="22"/>
          <w:highlight w:val="yellow"/>
        </w:rPr>
      </w:pPr>
    </w:p>
    <w:p w14:paraId="2B20B9AA" w14:textId="77777777" w:rsidR="00695007" w:rsidRDefault="00695007" w:rsidP="00695007">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t>[</w:t>
      </w:r>
      <w:r w:rsidRPr="003D6B6C">
        <w:rPr>
          <w:rFonts w:ascii="Times New Roman" w:hAnsi="Times New Roman"/>
          <w:sz w:val="22"/>
          <w:szCs w:val="22"/>
          <w:highlight w:val="yellow"/>
        </w:rPr>
        <w:t xml:space="preserve">if the total </w:t>
      </w:r>
      <w:r w:rsidR="00F60098">
        <w:rPr>
          <w:rFonts w:ascii="Times New Roman" w:hAnsi="Times New Roman"/>
          <w:sz w:val="22"/>
          <w:szCs w:val="22"/>
          <w:highlight w:val="yellow"/>
        </w:rPr>
        <w:t>c</w:t>
      </w:r>
      <w:r w:rsidRPr="003D6B6C">
        <w:rPr>
          <w:rFonts w:ascii="Times New Roman" w:hAnsi="Times New Roman"/>
          <w:sz w:val="22"/>
          <w:szCs w:val="22"/>
          <w:highlight w:val="yellow"/>
        </w:rPr>
        <w:t xml:space="preserve">ontract price is </w:t>
      </w:r>
      <w:r>
        <w:rPr>
          <w:rFonts w:ascii="Times New Roman" w:hAnsi="Times New Roman"/>
          <w:sz w:val="22"/>
          <w:szCs w:val="22"/>
          <w:highlight w:val="yellow"/>
        </w:rPr>
        <w:t>a</w:t>
      </w:r>
      <w:r w:rsidRPr="003D6B6C">
        <w:rPr>
          <w:rFonts w:ascii="Times New Roman" w:hAnsi="Times New Roman"/>
          <w:sz w:val="22"/>
          <w:szCs w:val="22"/>
          <w:highlight w:val="yellow"/>
        </w:rPr>
        <w:t>b</w:t>
      </w:r>
      <w:r>
        <w:rPr>
          <w:rFonts w:ascii="Times New Roman" w:hAnsi="Times New Roman"/>
          <w:sz w:val="22"/>
          <w:szCs w:val="22"/>
          <w:highlight w:val="yellow"/>
        </w:rPr>
        <w:t>ov</w:t>
      </w:r>
      <w:r w:rsidRPr="003D6B6C">
        <w:rPr>
          <w:rFonts w:ascii="Times New Roman" w:hAnsi="Times New Roman"/>
          <w:sz w:val="22"/>
          <w:szCs w:val="22"/>
          <w:highlight w:val="yellow"/>
        </w:rPr>
        <w:t>e EUR 60</w:t>
      </w:r>
      <w:r w:rsidR="00F60098">
        <w:rPr>
          <w:rFonts w:ascii="Times New Roman" w:hAnsi="Times New Roman"/>
          <w:sz w:val="22"/>
          <w:szCs w:val="22"/>
          <w:highlight w:val="yellow"/>
        </w:rPr>
        <w:t> </w:t>
      </w:r>
      <w:r w:rsidRPr="003D6B6C">
        <w:rPr>
          <w:rFonts w:ascii="Times New Roman" w:hAnsi="Times New Roman"/>
          <w:sz w:val="22"/>
          <w:szCs w:val="22"/>
          <w:highlight w:val="yellow"/>
        </w:rPr>
        <w:t>000</w:t>
      </w:r>
      <w:r>
        <w:rPr>
          <w:rFonts w:ascii="Times New Roman" w:hAnsi="Times New Roman"/>
          <w:sz w:val="22"/>
          <w:szCs w:val="22"/>
          <w:highlight w:val="yellow"/>
        </w:rPr>
        <w:t>:]</w:t>
      </w:r>
      <w:r w:rsidRPr="003D6B6C">
        <w:rPr>
          <w:rFonts w:ascii="Times New Roman" w:hAnsi="Times New Roman"/>
          <w:sz w:val="22"/>
          <w:szCs w:val="22"/>
          <w:highlight w:val="yellow"/>
        </w:rPr>
        <w:t xml:space="preserve"> </w:t>
      </w:r>
    </w:p>
    <w:p w14:paraId="217F7B09" w14:textId="77777777" w:rsidR="00E87734" w:rsidRPr="003D6B6C" w:rsidRDefault="00695007" w:rsidP="0011156A">
      <w:pPr>
        <w:spacing w:before="0" w:after="0"/>
        <w:ind w:left="1985"/>
        <w:jc w:val="both"/>
        <w:rPr>
          <w:rFonts w:ascii="Times New Roman" w:hAnsi="Times New Roman"/>
          <w:bCs/>
          <w:sz w:val="22"/>
          <w:szCs w:val="22"/>
        </w:rPr>
      </w:pPr>
      <w:r w:rsidRPr="00797C04">
        <w:rPr>
          <w:rFonts w:ascii="Times New Roman" w:hAnsi="Times New Roman"/>
          <w:sz w:val="22"/>
          <w:szCs w:val="22"/>
          <w:highlight w:val="lightGray"/>
        </w:rPr>
        <w:t>[</w:t>
      </w:r>
      <w:r w:rsidR="00F671B9">
        <w:rPr>
          <w:rFonts w:ascii="Times New Roman" w:hAnsi="Times New Roman"/>
          <w:sz w:val="22"/>
          <w:szCs w:val="22"/>
          <w:highlight w:val="lightGray"/>
        </w:rPr>
        <w:t>When</w:t>
      </w:r>
      <w:r w:rsidR="00E87734" w:rsidRPr="00797C04">
        <w:rPr>
          <w:rFonts w:ascii="Times New Roman" w:hAnsi="Times New Roman"/>
          <w:bCs/>
          <w:sz w:val="22"/>
          <w:szCs w:val="22"/>
          <w:highlight w:val="lightGray"/>
        </w:rPr>
        <w:t xml:space="preserve"> </w:t>
      </w:r>
      <w:r w:rsidR="00F75F46" w:rsidRPr="00797C04">
        <w:rPr>
          <w:rFonts w:ascii="Times New Roman" w:hAnsi="Times New Roman"/>
          <w:bCs/>
          <w:sz w:val="22"/>
          <w:szCs w:val="22"/>
          <w:highlight w:val="lightGray"/>
        </w:rPr>
        <w:t xml:space="preserve">(i) </w:t>
      </w:r>
      <w:r w:rsidR="00E87734" w:rsidRPr="00797C04">
        <w:rPr>
          <w:rFonts w:ascii="Times New Roman" w:hAnsi="Times New Roman"/>
          <w:bCs/>
          <w:sz w:val="22"/>
          <w:szCs w:val="22"/>
          <w:highlight w:val="lightGray"/>
        </w:rPr>
        <w:t xml:space="preserve">the pre-financing requested is equal or below EUR 300 000 </w:t>
      </w:r>
      <w:r w:rsidR="00F75F46" w:rsidRPr="00797C04">
        <w:rPr>
          <w:rFonts w:ascii="Times New Roman" w:hAnsi="Times New Roman"/>
          <w:b/>
          <w:bCs/>
          <w:sz w:val="22"/>
          <w:szCs w:val="22"/>
          <w:highlight w:val="lightGray"/>
        </w:rPr>
        <w:t>and</w:t>
      </w:r>
      <w:r w:rsidR="00F75F46" w:rsidRPr="00797C04">
        <w:rPr>
          <w:rFonts w:ascii="Times New Roman" w:hAnsi="Times New Roman"/>
          <w:bCs/>
          <w:sz w:val="22"/>
          <w:szCs w:val="22"/>
          <w:highlight w:val="lightGray"/>
        </w:rPr>
        <w:t xml:space="preserve"> (ii) </w:t>
      </w:r>
      <w:r w:rsidR="00E87734" w:rsidRPr="00797C04">
        <w:rPr>
          <w:rFonts w:ascii="Times New Roman" w:hAnsi="Times New Roman"/>
          <w:bCs/>
          <w:sz w:val="22"/>
          <w:szCs w:val="22"/>
          <w:highlight w:val="lightGray"/>
        </w:rPr>
        <w:t xml:space="preserve">the </w:t>
      </w:r>
      <w:r w:rsidR="00F60098">
        <w:rPr>
          <w:rFonts w:ascii="Times New Roman" w:hAnsi="Times New Roman"/>
          <w:bCs/>
          <w:sz w:val="22"/>
          <w:szCs w:val="22"/>
          <w:highlight w:val="lightGray"/>
        </w:rPr>
        <w:t>c</w:t>
      </w:r>
      <w:r w:rsidR="00E87734" w:rsidRPr="00797C04">
        <w:rPr>
          <w:rFonts w:ascii="Times New Roman" w:hAnsi="Times New Roman"/>
          <w:bCs/>
          <w:sz w:val="22"/>
          <w:szCs w:val="22"/>
          <w:highlight w:val="lightGray"/>
        </w:rPr>
        <w:t xml:space="preserve">ontracting </w:t>
      </w:r>
      <w:r w:rsidR="00F60098">
        <w:rPr>
          <w:rFonts w:ascii="Times New Roman" w:hAnsi="Times New Roman"/>
          <w:bCs/>
          <w:sz w:val="22"/>
          <w:szCs w:val="22"/>
          <w:highlight w:val="lightGray"/>
        </w:rPr>
        <w:t>a</w:t>
      </w:r>
      <w:r w:rsidR="00E87734" w:rsidRPr="00797C04">
        <w:rPr>
          <w:rFonts w:ascii="Times New Roman" w:hAnsi="Times New Roman"/>
          <w:bCs/>
          <w:sz w:val="22"/>
          <w:szCs w:val="22"/>
          <w:highlight w:val="lightGray"/>
        </w:rPr>
        <w:t xml:space="preserve">uthority </w:t>
      </w:r>
      <w:r w:rsidR="00F75F46" w:rsidRPr="00797C04">
        <w:rPr>
          <w:rFonts w:ascii="Times New Roman" w:hAnsi="Times New Roman"/>
          <w:bCs/>
          <w:sz w:val="22"/>
          <w:szCs w:val="22"/>
          <w:highlight w:val="lightGray"/>
        </w:rPr>
        <w:t xml:space="preserve">does not </w:t>
      </w:r>
      <w:r w:rsidR="00E87734" w:rsidRPr="00797C04">
        <w:rPr>
          <w:rFonts w:ascii="Times New Roman" w:hAnsi="Times New Roman"/>
          <w:bCs/>
          <w:sz w:val="22"/>
          <w:szCs w:val="22"/>
          <w:highlight w:val="lightGray"/>
        </w:rPr>
        <w:t>require a financial guarantee following a risk assessment</w:t>
      </w:r>
      <w:r w:rsidR="00F0405C">
        <w:rPr>
          <w:rStyle w:val="FootnoteReference"/>
          <w:rFonts w:ascii="Times New Roman" w:hAnsi="Times New Roman"/>
          <w:bCs/>
          <w:sz w:val="22"/>
          <w:szCs w:val="22"/>
          <w:highlight w:val="lightGray"/>
        </w:rPr>
        <w:footnoteReference w:id="1"/>
      </w:r>
      <w:r w:rsidRPr="00797C04">
        <w:rPr>
          <w:rFonts w:ascii="Times New Roman" w:hAnsi="Times New Roman"/>
          <w:bCs/>
          <w:sz w:val="22"/>
          <w:szCs w:val="22"/>
          <w:highlight w:val="lightGray"/>
        </w:rPr>
        <w:t>, b</w:t>
      </w:r>
      <w:r w:rsidR="00E87734" w:rsidRPr="00695007">
        <w:rPr>
          <w:rFonts w:ascii="Times New Roman" w:hAnsi="Times New Roman"/>
          <w:bCs/>
          <w:sz w:val="22"/>
          <w:szCs w:val="22"/>
          <w:highlight w:val="lightGray"/>
        </w:rPr>
        <w:t xml:space="preserve">y derogation </w:t>
      </w:r>
      <w:r w:rsidR="001207A4" w:rsidRPr="00695007">
        <w:rPr>
          <w:rFonts w:ascii="Times New Roman" w:hAnsi="Times New Roman"/>
          <w:bCs/>
          <w:sz w:val="22"/>
          <w:szCs w:val="22"/>
          <w:highlight w:val="lightGray"/>
        </w:rPr>
        <w:t>from</w:t>
      </w:r>
      <w:r w:rsidR="00E87734" w:rsidRPr="00695007">
        <w:rPr>
          <w:rFonts w:ascii="Times New Roman" w:hAnsi="Times New Roman"/>
          <w:bCs/>
          <w:sz w:val="22"/>
          <w:szCs w:val="22"/>
          <w:highlight w:val="lightGray"/>
        </w:rPr>
        <w:t xml:space="preserve"> article </w:t>
      </w:r>
      <w:r w:rsidR="001207A4" w:rsidRPr="00695007">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001207A4" w:rsidRPr="00695007">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207A4" w:rsidRPr="00695007">
        <w:rPr>
          <w:rFonts w:ascii="Times New Roman" w:hAnsi="Times New Roman"/>
          <w:sz w:val="22"/>
          <w:szCs w:val="22"/>
          <w:highlight w:val="lightGray"/>
        </w:rPr>
        <w:t xml:space="preserve">onditions </w:t>
      </w:r>
      <w:r w:rsidR="00E87734" w:rsidRPr="00695007">
        <w:rPr>
          <w:rFonts w:ascii="Times New Roman" w:hAnsi="Times New Roman"/>
          <w:bCs/>
          <w:sz w:val="22"/>
          <w:szCs w:val="22"/>
          <w:highlight w:val="lightGray"/>
        </w:rPr>
        <w:t>no pre-financing guarantee is required</w:t>
      </w:r>
      <w:r w:rsidR="008214E2" w:rsidRPr="003D6B6C">
        <w:rPr>
          <w:rFonts w:ascii="Times New Roman" w:hAnsi="Times New Roman"/>
          <w:bCs/>
          <w:sz w:val="22"/>
          <w:szCs w:val="22"/>
        </w:rPr>
        <w:t>.</w:t>
      </w:r>
      <w:r w:rsidR="00E87734" w:rsidRPr="003D6B6C">
        <w:rPr>
          <w:rFonts w:ascii="Times New Roman" w:hAnsi="Times New Roman"/>
          <w:bCs/>
          <w:sz w:val="22"/>
          <w:szCs w:val="22"/>
        </w:rPr>
        <w:t>]</w:t>
      </w:r>
    </w:p>
    <w:p w14:paraId="329FDEAA" w14:textId="77777777"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1F24F0">
        <w:rPr>
          <w:rFonts w:ascii="Times New Roman" w:hAnsi="Times New Roman"/>
          <w:sz w:val="22"/>
          <w:szCs w:val="22"/>
        </w:rPr>
        <w:t xml:space="preserve">For the </w:t>
      </w:r>
      <w:r w:rsidR="00441859" w:rsidRPr="001F24F0">
        <w:rPr>
          <w:rFonts w:ascii="Times New Roman" w:hAnsi="Times New Roman"/>
          <w:sz w:val="22"/>
          <w:szCs w:val="22"/>
        </w:rPr>
        <w:t>6</w:t>
      </w:r>
      <w:r w:rsidRPr="001F24F0">
        <w:rPr>
          <w:rFonts w:ascii="Times New Roman" w:hAnsi="Times New Roman"/>
          <w:sz w:val="22"/>
          <w:szCs w:val="22"/>
        </w:rPr>
        <w:t>0</w:t>
      </w:r>
      <w:r w:rsidR="006A5F84" w:rsidRPr="001F24F0">
        <w:rPr>
          <w:rFonts w:ascii="Times New Roman" w:hAnsi="Times New Roman"/>
          <w:w w:val="50"/>
          <w:sz w:val="22"/>
          <w:szCs w:val="22"/>
        </w:rPr>
        <w:t> </w:t>
      </w:r>
      <w:r w:rsidRPr="001F24F0">
        <w:rPr>
          <w:rFonts w:ascii="Times New Roman" w:hAnsi="Times New Roman"/>
          <w:sz w:val="22"/>
          <w:szCs w:val="22"/>
        </w:rPr>
        <w:t>% balance</w:t>
      </w:r>
      <w:r w:rsidRPr="00C70E2C">
        <w:rPr>
          <w:rFonts w:ascii="Times New Roman" w:hAnsi="Times New Roman"/>
          <w:sz w:val="22"/>
          <w:szCs w:val="22"/>
        </w:rPr>
        <w:t>,</w:t>
      </w:r>
      <w:r w:rsidRPr="003D6B6C">
        <w:rPr>
          <w:rFonts w:ascii="Times New Roman" w:hAnsi="Times New Roman"/>
          <w:sz w:val="22"/>
          <w:szCs w:val="22"/>
        </w:rPr>
        <w:t xml:space="preserve"> the invoice(s) </w:t>
      </w:r>
      <w:r w:rsidRPr="003D6B6C">
        <w:rPr>
          <w:rFonts w:ascii="Times New Roman" w:hAnsi="Times New Roman"/>
          <w:sz w:val="22"/>
          <w:szCs w:val="22"/>
          <w:highlight w:val="lightGray"/>
        </w:rPr>
        <w:t>[in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14:paraId="3A2DE3CB" w14:textId="77777777"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Pr="003D6B6C">
        <w:rPr>
          <w:rFonts w:ascii="Times New Roman" w:hAnsi="Times New Roman"/>
          <w:color w:val="000000"/>
          <w:sz w:val="22"/>
          <w:szCs w:val="22"/>
        </w:rPr>
        <w:t>&lt;</w:t>
      </w:r>
      <w:r w:rsidRPr="003D6B6C">
        <w:rPr>
          <w:rFonts w:ascii="Times New Roman" w:hAnsi="Times New Roman"/>
          <w:color w:val="000000"/>
          <w:sz w:val="22"/>
          <w:szCs w:val="22"/>
          <w:highlight w:val="yellow"/>
        </w:rPr>
        <w:t xml:space="preserve">Specify whether the </w:t>
      </w:r>
      <w:r w:rsidR="00F60098">
        <w:rPr>
          <w:rFonts w:ascii="Times New Roman" w:hAnsi="Times New Roman"/>
          <w:color w:val="000000"/>
          <w:sz w:val="22"/>
          <w:szCs w:val="22"/>
          <w:highlight w:val="yellow"/>
        </w:rPr>
        <w:t>c</w:t>
      </w:r>
      <w:r w:rsidR="0097513D" w:rsidRPr="003D6B6C">
        <w:rPr>
          <w:rFonts w:ascii="Times New Roman" w:hAnsi="Times New Roman"/>
          <w:color w:val="000000"/>
          <w:sz w:val="22"/>
          <w:szCs w:val="22"/>
          <w:highlight w:val="yellow"/>
        </w:rPr>
        <w:t>ontract</w:t>
      </w:r>
      <w:r w:rsidRPr="003D6B6C">
        <w:rPr>
          <w:rFonts w:ascii="Times New Roman" w:hAnsi="Times New Roman"/>
          <w:color w:val="000000"/>
          <w:sz w:val="22"/>
          <w:szCs w:val="22"/>
          <w:highlight w:val="yellow"/>
        </w:rPr>
        <w:t xml:space="preserve"> includes a price revision clause. This clause must be drawn up by the competent services of the European Commission in accordance with their internal procedures.</w:t>
      </w:r>
      <w:r w:rsidRPr="003D6B6C">
        <w:rPr>
          <w:rFonts w:ascii="Times New Roman" w:hAnsi="Times New Roman"/>
          <w:color w:val="000000"/>
          <w:sz w:val="22"/>
          <w:szCs w:val="22"/>
        </w:rPr>
        <w:t>&gt;</w:t>
      </w:r>
    </w:p>
    <w:p w14:paraId="0D88B9E4"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096E7896" w14:textId="0B797AD8" w:rsidR="0047783A" w:rsidRPr="003D6B6C" w:rsidRDefault="0047783A" w:rsidP="00030561">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F017DE">
        <w:rPr>
          <w:rFonts w:ascii="Times New Roman" w:hAnsi="Times New Roman"/>
          <w:snapToGrid/>
          <w:sz w:val="22"/>
          <w:szCs w:val="22"/>
          <w:highlight w:val="lightGray"/>
          <w:lang w:eastAsia="en-GB"/>
        </w:rPr>
        <w:t xml:space="preserve">By derogation from Article 28.2 of the </w:t>
      </w:r>
      <w:r w:rsidR="00F60098">
        <w:rPr>
          <w:rFonts w:ascii="Times New Roman" w:hAnsi="Times New Roman"/>
          <w:snapToGrid/>
          <w:sz w:val="22"/>
          <w:szCs w:val="22"/>
          <w:highlight w:val="lightGray"/>
          <w:lang w:eastAsia="en-GB"/>
        </w:rPr>
        <w:t>g</w:t>
      </w:r>
      <w:r w:rsidRPr="00F017DE">
        <w:rPr>
          <w:rFonts w:ascii="Times New Roman" w:hAnsi="Times New Roman"/>
          <w:snapToGrid/>
          <w:sz w:val="22"/>
          <w:szCs w:val="22"/>
          <w:highlight w:val="lightGray"/>
          <w:lang w:eastAsia="en-GB"/>
        </w:rPr>
        <w:t xml:space="preserve">eneral </w:t>
      </w:r>
      <w:r w:rsidR="00F60098">
        <w:rPr>
          <w:rFonts w:ascii="Times New Roman" w:hAnsi="Times New Roman"/>
          <w:snapToGrid/>
          <w:sz w:val="22"/>
          <w:szCs w:val="22"/>
          <w:highlight w:val="lightGray"/>
          <w:lang w:eastAsia="en-GB"/>
        </w:rPr>
        <w:t>c</w:t>
      </w:r>
      <w:r w:rsidRPr="00F017DE">
        <w:rPr>
          <w:rFonts w:ascii="Times New Roman" w:hAnsi="Times New Roman"/>
          <w:snapToGrid/>
          <w:sz w:val="22"/>
          <w:szCs w:val="22"/>
          <w:highlight w:val="lightGray"/>
          <w:lang w:eastAsia="en-GB"/>
        </w:rPr>
        <w:t>onditions, o</w:t>
      </w:r>
      <w:r w:rsidRPr="00F017DE">
        <w:rPr>
          <w:rFonts w:ascii="Times New Roman" w:hAnsi="Times New Roman"/>
          <w:sz w:val="22"/>
          <w:szCs w:val="22"/>
          <w:highlight w:val="lightGray"/>
        </w:rPr>
        <w:t>nce the deadline laid down in Article 2</w:t>
      </w:r>
      <w:r w:rsidR="00D83918" w:rsidRPr="00F017DE">
        <w:rPr>
          <w:rFonts w:ascii="Times New Roman" w:hAnsi="Times New Roman"/>
          <w:sz w:val="22"/>
          <w:szCs w:val="22"/>
          <w:highlight w:val="lightGray"/>
        </w:rPr>
        <w:t>6.3</w:t>
      </w:r>
      <w:r w:rsidRPr="00F017DE">
        <w:rPr>
          <w:rFonts w:ascii="Times New Roman" w:hAnsi="Times New Roman"/>
          <w:sz w:val="22"/>
          <w:szCs w:val="22"/>
          <w:highlight w:val="lightGray"/>
        </w:rPr>
        <w:t xml:space="preserve"> has expired,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sha</w:t>
      </w:r>
      <w:r w:rsidR="006D3BA1"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upon demand, </w:t>
      </w:r>
      <w:r w:rsidR="006D3BA1" w:rsidRPr="00F017DE">
        <w:rPr>
          <w:rFonts w:ascii="Times New Roman" w:hAnsi="Times New Roman"/>
          <w:sz w:val="22"/>
          <w:szCs w:val="22"/>
          <w:highlight w:val="lightGray"/>
        </w:rPr>
        <w:t xml:space="preserve">be entitled to late-payment interest </w:t>
      </w:r>
      <w:r w:rsidR="00117ADA" w:rsidRPr="00F017DE">
        <w:rPr>
          <w:rFonts w:ascii="Times New Roman" w:hAnsi="Times New Roman"/>
          <w:sz w:val="22"/>
          <w:szCs w:val="22"/>
          <w:highlight w:val="lightGray"/>
        </w:rPr>
        <w:t xml:space="preserve">at the rate and for the period mentioned in the </w:t>
      </w:r>
      <w:r w:rsidR="00F60098">
        <w:rPr>
          <w:rFonts w:ascii="Times New Roman" w:hAnsi="Times New Roman"/>
          <w:sz w:val="22"/>
          <w:szCs w:val="22"/>
          <w:highlight w:val="lightGray"/>
        </w:rPr>
        <w:t>g</w:t>
      </w:r>
      <w:r w:rsidR="00117ADA" w:rsidRPr="00F017DE">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17ADA" w:rsidRPr="00F017DE">
        <w:rPr>
          <w:rFonts w:ascii="Times New Roman" w:hAnsi="Times New Roman"/>
          <w:sz w:val="22"/>
          <w:szCs w:val="22"/>
          <w:highlight w:val="lightGray"/>
        </w:rPr>
        <w:t>onditions</w:t>
      </w:r>
      <w:r w:rsidR="006D3BA1" w:rsidRPr="00F017DE">
        <w:rPr>
          <w:rFonts w:ascii="Times New Roman" w:hAnsi="Times New Roman"/>
          <w:sz w:val="22"/>
          <w:szCs w:val="22"/>
          <w:highlight w:val="lightGray"/>
        </w:rPr>
        <w:t xml:space="preserve">. The demand must be </w:t>
      </w:r>
      <w:r w:rsidRPr="00F017DE">
        <w:rPr>
          <w:rFonts w:ascii="Times New Roman" w:hAnsi="Times New Roman"/>
          <w:sz w:val="22"/>
          <w:szCs w:val="22"/>
          <w:highlight w:val="lightGray"/>
        </w:rPr>
        <w:t>submitted within two months of receiving late payment</w:t>
      </w:r>
      <w:r w:rsidRPr="003D6B6C">
        <w:rPr>
          <w:rFonts w:ascii="Times New Roman" w:hAnsi="Times New Roman"/>
          <w:sz w:val="22"/>
          <w:szCs w:val="22"/>
        </w:rPr>
        <w:t>.</w:t>
      </w:r>
    </w:p>
    <w:p w14:paraId="6E14D33A"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9"/>
    </w:p>
    <w:p w14:paraId="2FF855E0" w14:textId="77777777" w:rsidR="0047783A" w:rsidRPr="003D6B6C" w:rsidRDefault="0047783A" w:rsidP="006B145B">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any specific packaging requirements</w:t>
      </w:r>
      <w:r w:rsidRPr="003D6B6C">
        <w:rPr>
          <w:rFonts w:ascii="Times New Roman" w:hAnsi="Times New Roman"/>
          <w:sz w:val="22"/>
          <w:szCs w:val="22"/>
        </w:rPr>
        <w:t>&gt;</w:t>
      </w:r>
    </w:p>
    <w:p w14:paraId="65034B50" w14:textId="77777777" w:rsidR="0047783A" w:rsidRPr="003D6B6C" w:rsidRDefault="0047783A" w:rsidP="006B145B">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Pr="003D6B6C">
        <w:rPr>
          <w:rFonts w:ascii="Times New Roman" w:hAnsi="Times New Roman"/>
          <w:sz w:val="22"/>
          <w:szCs w:val="22"/>
          <w:highlight w:val="lightGray"/>
        </w:rPr>
        <w:t xml:space="preserve"> become the property of the recipient subject to environment</w:t>
      </w:r>
      <w:r w:rsidR="006D3BA1" w:rsidRPr="003D6B6C">
        <w:rPr>
          <w:rFonts w:ascii="Times New Roman" w:hAnsi="Times New Roman"/>
          <w:sz w:val="22"/>
          <w:szCs w:val="22"/>
          <w:highlight w:val="lightGray"/>
        </w:rPr>
        <w:t>al considerations</w:t>
      </w:r>
      <w:r w:rsidRPr="003D6B6C">
        <w:rPr>
          <w:rFonts w:ascii="Times New Roman" w:hAnsi="Times New Roman"/>
          <w:sz w:val="22"/>
          <w:szCs w:val="22"/>
        </w:rPr>
        <w:t>].</w:t>
      </w:r>
    </w:p>
    <w:p w14:paraId="4A6D2D34" w14:textId="77777777" w:rsidR="0047783A" w:rsidRPr="003D6B6C" w:rsidRDefault="0049293D" w:rsidP="0049293D">
      <w:pPr>
        <w:ind w:left="1134"/>
        <w:jc w:val="both"/>
        <w:rPr>
          <w:rFonts w:ascii="Times New Roman" w:hAnsi="Times New Roman"/>
          <w:b/>
          <w:sz w:val="22"/>
          <w:szCs w:val="22"/>
        </w:rPr>
      </w:pPr>
      <w:r w:rsidRPr="003D6B6C">
        <w:rPr>
          <w:rFonts w:ascii="Times New Roman" w:hAnsi="Times New Roman"/>
          <w:sz w:val="22"/>
          <w:szCs w:val="22"/>
          <w:highlight w:val="yellow"/>
        </w:rPr>
        <w:t>O</w:t>
      </w:r>
      <w:r w:rsidR="0047783A" w:rsidRPr="003D6B6C">
        <w:rPr>
          <w:rFonts w:ascii="Times New Roman" w:hAnsi="Times New Roman"/>
          <w:sz w:val="22"/>
          <w:szCs w:val="22"/>
          <w:highlight w:val="yellow"/>
        </w:rPr>
        <w:t>r</w:t>
      </w:r>
      <w:r>
        <w:rPr>
          <w:rFonts w:ascii="Times New Roman" w:hAnsi="Times New Roman"/>
          <w:sz w:val="22"/>
          <w:szCs w:val="22"/>
        </w:rPr>
        <w:t xml:space="preserve"> </w:t>
      </w:r>
      <w:r w:rsidR="0047783A" w:rsidRPr="003D6B6C">
        <w:rPr>
          <w:rFonts w:ascii="Times New Roman" w:hAnsi="Times New Roman"/>
          <w:sz w:val="22"/>
          <w:szCs w:val="22"/>
        </w:rPr>
        <w:t>[</w:t>
      </w:r>
      <w:r w:rsidR="0047783A"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0047783A" w:rsidRPr="003D6B6C">
        <w:rPr>
          <w:rFonts w:ascii="Times New Roman" w:hAnsi="Times New Roman"/>
          <w:sz w:val="22"/>
          <w:szCs w:val="22"/>
          <w:highlight w:val="lightGray"/>
        </w:rPr>
        <w:t xml:space="preserve"> remain the property of the </w:t>
      </w:r>
      <w:r w:rsidR="00F60098">
        <w:rPr>
          <w:rFonts w:ascii="Times New Roman" w:hAnsi="Times New Roman"/>
          <w:sz w:val="22"/>
          <w:szCs w:val="22"/>
          <w:highlight w:val="lightGray"/>
        </w:rPr>
        <w:t>c</w:t>
      </w:r>
      <w:r w:rsidR="0047783A" w:rsidRPr="003D6B6C">
        <w:rPr>
          <w:rFonts w:ascii="Times New Roman" w:hAnsi="Times New Roman"/>
          <w:sz w:val="22"/>
          <w:szCs w:val="22"/>
          <w:highlight w:val="lightGray"/>
        </w:rPr>
        <w:t>ontractor subject to environment</w:t>
      </w:r>
      <w:r w:rsidR="006D3BA1" w:rsidRPr="003D6B6C">
        <w:rPr>
          <w:rFonts w:ascii="Times New Roman" w:hAnsi="Times New Roman"/>
          <w:sz w:val="22"/>
          <w:szCs w:val="22"/>
          <w:highlight w:val="lightGray"/>
        </w:rPr>
        <w:t>al considerations</w:t>
      </w:r>
      <w:r w:rsidR="0047783A" w:rsidRPr="003D6B6C">
        <w:rPr>
          <w:rFonts w:ascii="Times New Roman" w:hAnsi="Times New Roman"/>
          <w:sz w:val="22"/>
          <w:szCs w:val="22"/>
        </w:rPr>
        <w:t>].</w:t>
      </w:r>
    </w:p>
    <w:p w14:paraId="596C085E" w14:textId="77777777"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t>&lt;</w:t>
      </w:r>
      <w:r w:rsidRPr="003D6B6C">
        <w:rPr>
          <w:rFonts w:ascii="Times New Roman" w:hAnsi="Times New Roman"/>
          <w:sz w:val="22"/>
          <w:szCs w:val="22"/>
          <w:highlight w:val="yellow"/>
        </w:rPr>
        <w:t>Set out requirements as regards documents to accompany each delivery and markings on the packaging</w:t>
      </w:r>
      <w:r w:rsidRPr="003D6B6C">
        <w:rPr>
          <w:rFonts w:ascii="Times New Roman" w:hAnsi="Times New Roman"/>
          <w:sz w:val="22"/>
          <w:szCs w:val="22"/>
        </w:rPr>
        <w:t>&gt;</w:t>
      </w:r>
    </w:p>
    <w:p w14:paraId="2089EE3E"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20"/>
    </w:p>
    <w:p w14:paraId="6685902C" w14:textId="77777777"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r w:rsidRPr="003D6B6C">
        <w:rPr>
          <w:rFonts w:ascii="Times New Roman" w:hAnsi="Times New Roman"/>
          <w:sz w:val="22"/>
          <w:szCs w:val="22"/>
          <w:highlight w:val="yellow"/>
        </w:rPr>
        <w:t>Specify the detailed arrangements for provisional acceptance</w:t>
      </w:r>
      <w:r w:rsidRPr="003D6B6C">
        <w:rPr>
          <w:rFonts w:ascii="Times New Roman" w:hAnsi="Times New Roman"/>
          <w:sz w:val="22"/>
          <w:szCs w:val="22"/>
        </w:rPr>
        <w:t>&gt;</w:t>
      </w:r>
    </w:p>
    <w:p w14:paraId="2CF8C50C" w14:textId="77777777" w:rsidR="00724C93" w:rsidRPr="003D6B6C" w:rsidRDefault="00724C93" w:rsidP="00724C93">
      <w:pPr>
        <w:autoSpaceDE w:val="0"/>
        <w:autoSpaceDN w:val="0"/>
        <w:adjustRightInd w:val="0"/>
        <w:spacing w:before="0" w:after="0"/>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Contract in decentralised</w:t>
      </w:r>
      <w:r w:rsidR="00D23D4C" w:rsidRPr="003D6B6C">
        <w:rPr>
          <w:rFonts w:ascii="Times New Roman" w:hAnsi="Times New Roman"/>
          <w:sz w:val="22"/>
          <w:szCs w:val="22"/>
          <w:highlight w:val="yellow"/>
        </w:rPr>
        <w:t>/indirect</w:t>
      </w:r>
      <w:r w:rsidR="00BD2F43"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00BD2F43"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00BD2F43"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p>
    <w:p w14:paraId="5EAC27C3" w14:textId="77777777" w:rsidR="00E219CD" w:rsidRPr="00F017DE" w:rsidRDefault="0011156A" w:rsidP="00E219CD">
      <w:pPr>
        <w:ind w:left="1134" w:hanging="708"/>
        <w:jc w:val="both"/>
        <w:rPr>
          <w:rFonts w:ascii="Times New Roman" w:hAnsi="Times New Roman"/>
          <w:sz w:val="22"/>
          <w:szCs w:val="22"/>
          <w:highlight w:val="lightGray"/>
        </w:rPr>
      </w:pPr>
      <w:r>
        <w:rPr>
          <w:rFonts w:ascii="Times New Roman" w:hAnsi="Times New Roman"/>
          <w:sz w:val="22"/>
          <w:szCs w:val="22"/>
        </w:rPr>
        <w:t>31.2.</w:t>
      </w:r>
      <w:r>
        <w:rPr>
          <w:rFonts w:ascii="Times New Roman" w:hAnsi="Times New Roman"/>
          <w:sz w:val="22"/>
          <w:szCs w:val="22"/>
        </w:rPr>
        <w:tab/>
      </w:r>
      <w:r w:rsidR="00724C93" w:rsidRPr="00F017DE">
        <w:rPr>
          <w:rFonts w:ascii="Times New Roman" w:hAnsi="Times New Roman"/>
          <w:sz w:val="22"/>
          <w:szCs w:val="22"/>
          <w:highlight w:val="lightGray"/>
        </w:rPr>
        <w:t xml:space="preserve">By derogation,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 xml:space="preserve">ontractor may apply, by notice to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for a certificate of provisional acceptance when supplies are ready for provisional acceptance.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shall within 45 days of receipt of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ontractor's application either:</w:t>
      </w:r>
    </w:p>
    <w:p w14:paraId="0D7E4BD8" w14:textId="77777777" w:rsidR="00E219CD" w:rsidRPr="00F017DE" w:rsidRDefault="00E219CD" w:rsidP="00E219CD">
      <w:pPr>
        <w:widowControl w:val="0"/>
        <w:numPr>
          <w:ilvl w:val="0"/>
          <w:numId w:val="19"/>
        </w:numPr>
        <w:tabs>
          <w:tab w:val="left" w:pos="1560"/>
        </w:tabs>
        <w:spacing w:before="0" w:after="0"/>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issue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with a copy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stating, where appropriate, his reservations, and, inter alia, the date on which, in his opinion, the supplies were completed in accordance with the contract and ready for provisional acceptance; or</w:t>
      </w:r>
    </w:p>
    <w:p w14:paraId="41305571" w14:textId="77777777" w:rsidR="00E219CD" w:rsidRPr="00F017DE" w:rsidRDefault="00E219CD" w:rsidP="00E219CD">
      <w:pPr>
        <w:widowControl w:val="0"/>
        <w:numPr>
          <w:ilvl w:val="0"/>
          <w:numId w:val="19"/>
        </w:numPr>
        <w:tabs>
          <w:tab w:val="left" w:pos="1560"/>
        </w:tabs>
        <w:ind w:left="1560"/>
        <w:jc w:val="both"/>
        <w:rPr>
          <w:rFonts w:ascii="Times New Roman" w:hAnsi="Times New Roman"/>
          <w:sz w:val="22"/>
          <w:szCs w:val="22"/>
          <w:highlight w:val="lightGray"/>
        </w:rPr>
      </w:pPr>
      <w:r w:rsidRPr="00F017DE">
        <w:rPr>
          <w:rFonts w:ascii="Times New Roman" w:hAnsi="Times New Roman"/>
          <w:sz w:val="22"/>
          <w:szCs w:val="22"/>
          <w:highlight w:val="lightGray"/>
        </w:rPr>
        <w:lastRenderedPageBreak/>
        <w:t xml:space="preserve">reject the application, giving his reasons and specifying the action which, in his opinion, is required of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for the certificate to be issued.</w:t>
      </w:r>
    </w:p>
    <w:p w14:paraId="764A9DD3" w14:textId="77777777" w:rsidR="00240B1F" w:rsidRPr="003D6B6C" w:rsidRDefault="00240B1F" w:rsidP="00D82847">
      <w:pPr>
        <w:widowControl w:val="0"/>
        <w:tabs>
          <w:tab w:val="left" w:pos="1560"/>
        </w:tabs>
        <w:ind w:left="1200"/>
        <w:jc w:val="both"/>
        <w:rPr>
          <w:rFonts w:ascii="Times New Roman" w:hAnsi="Times New Roman"/>
          <w:sz w:val="22"/>
          <w:szCs w:val="22"/>
        </w:rPr>
      </w:pP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14:paraId="27959653" w14:textId="77777777" w:rsidR="007F5DDE" w:rsidRPr="003D6B6C" w:rsidRDefault="00554164" w:rsidP="0011156A">
      <w:pPr>
        <w:autoSpaceDE w:val="0"/>
        <w:autoSpaceDN w:val="0"/>
        <w:adjustRightInd w:val="0"/>
        <w:spacing w:before="0"/>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under</w:t>
      </w:r>
      <w:r w:rsidRPr="003D6B6C">
        <w:rPr>
          <w:rFonts w:ascii="Times New Roman" w:hAnsi="Times New Roman"/>
          <w:sz w:val="22"/>
          <w:szCs w:val="22"/>
        </w:rPr>
        <w:t xml:space="preserve"> </w:t>
      </w:r>
      <w:r w:rsidRPr="003D6B6C">
        <w:rPr>
          <w:rFonts w:ascii="Times New Roman" w:hAnsi="Times New Roman"/>
          <w:sz w:val="22"/>
          <w:szCs w:val="22"/>
          <w:highlight w:val="yellow"/>
        </w:rPr>
        <w:t>EDF only</w:t>
      </w:r>
      <w:r w:rsidR="007F5DDE" w:rsidRPr="003D6B6C">
        <w:rPr>
          <w:rFonts w:ascii="Times New Roman" w:hAnsi="Times New Roman"/>
          <w:sz w:val="22"/>
          <w:szCs w:val="22"/>
        </w:rPr>
        <w:t xml:space="preserve">: </w:t>
      </w:r>
    </w:p>
    <w:p w14:paraId="30B4AC92" w14:textId="77777777" w:rsidR="00554164" w:rsidRPr="003D6B6C" w:rsidRDefault="007F5DDE" w:rsidP="00D82847">
      <w:pPr>
        <w:autoSpaceDE w:val="0"/>
        <w:autoSpaceDN w:val="0"/>
        <w:adjustRightInd w:val="0"/>
        <w:spacing w:before="0" w:after="0"/>
        <w:ind w:left="1200"/>
        <w:rPr>
          <w:rFonts w:ascii="Times New Roman" w:hAnsi="Times New Roman"/>
          <w:sz w:val="22"/>
          <w:szCs w:val="22"/>
        </w:rPr>
      </w:pPr>
      <w:r w:rsidRPr="00F017DE">
        <w:rPr>
          <w:rFonts w:ascii="Times New Roman" w:hAnsi="Times New Roman"/>
          <w:sz w:val="22"/>
          <w:szCs w:val="22"/>
          <w:highlight w:val="lightGray"/>
        </w:rPr>
        <w:t xml:space="preserve">By derogation from Article </w:t>
      </w:r>
      <w:r w:rsidR="00554164" w:rsidRPr="00F017DE">
        <w:rPr>
          <w:rFonts w:ascii="Times New Roman" w:hAnsi="Times New Roman"/>
          <w:sz w:val="22"/>
          <w:szCs w:val="22"/>
          <w:highlight w:val="lightGray"/>
        </w:rPr>
        <w:t>31.2</w:t>
      </w:r>
      <w:r w:rsidRPr="00F017DE">
        <w:rPr>
          <w:rFonts w:ascii="Times New Roman" w:hAnsi="Times New Roman"/>
          <w:sz w:val="22"/>
          <w:szCs w:val="22"/>
          <w:highlight w:val="lightGray"/>
        </w:rPr>
        <w:t xml:space="preserve">, second paragraph </w:t>
      </w:r>
      <w:r w:rsidR="00554164" w:rsidRPr="00F017DE">
        <w:rPr>
          <w:rFonts w:ascii="Times New Roman" w:hAnsi="Times New Roman"/>
          <w:sz w:val="22"/>
          <w:szCs w:val="22"/>
          <w:highlight w:val="lightGray"/>
        </w:rPr>
        <w:t xml:space="preserve">,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554164"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14:paraId="1E4D1C48" w14:textId="77777777" w:rsidR="0047783A" w:rsidRPr="003D6B6C" w:rsidRDefault="0047783A" w:rsidP="00B34179">
      <w:pPr>
        <w:spacing w:before="240"/>
        <w:ind w:left="1134" w:hanging="1134"/>
        <w:jc w:val="both"/>
        <w:rPr>
          <w:rFonts w:ascii="Times New Roman" w:hAnsi="Times New Roman"/>
          <w:b/>
          <w:sz w:val="24"/>
          <w:szCs w:val="24"/>
        </w:rPr>
      </w:pPr>
      <w:bookmarkStart w:id="21"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1"/>
      <w:r w:rsidR="00177A94" w:rsidRPr="003D6B6C">
        <w:rPr>
          <w:rFonts w:ascii="Times New Roman" w:hAnsi="Times New Roman"/>
          <w:b/>
          <w:sz w:val="24"/>
          <w:szCs w:val="24"/>
        </w:rPr>
        <w:t xml:space="preserve"> obligations</w:t>
      </w:r>
    </w:p>
    <w:p w14:paraId="0F42B553" w14:textId="77777777"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any additional obligations under the warranty, e</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g</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commercial warranty</w:t>
      </w:r>
      <w:r w:rsidR="0047783A" w:rsidRPr="003D6B6C">
        <w:rPr>
          <w:rFonts w:ascii="Times New Roman" w:hAnsi="Times New Roman"/>
          <w:sz w:val="22"/>
          <w:szCs w:val="22"/>
        </w:rPr>
        <w:t>&gt;</w:t>
      </w:r>
    </w:p>
    <w:p w14:paraId="0D32E95A" w14:textId="77777777"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The warranty must remain valid for &lt;</w:t>
      </w:r>
      <w:r w:rsidRPr="00F017DE">
        <w:rPr>
          <w:rFonts w:ascii="Times New Roman" w:hAnsi="Times New Roman"/>
          <w:sz w:val="22"/>
          <w:szCs w:val="22"/>
          <w:highlight w:val="yellow"/>
        </w:rPr>
        <w:t>period to be specified, maximum one year</w:t>
      </w:r>
      <w:r w:rsidRPr="003D6B6C">
        <w:rPr>
          <w:rFonts w:ascii="Times New Roman" w:hAnsi="Times New Roman"/>
          <w:sz w:val="22"/>
          <w:szCs w:val="22"/>
        </w:rPr>
        <w:t>&gt; after provisional acceptance.</w:t>
      </w:r>
    </w:p>
    <w:p w14:paraId="752EDE02" w14:textId="77777777" w:rsidR="0047783A" w:rsidRPr="003D6B6C" w:rsidRDefault="0047783A" w:rsidP="00B34179">
      <w:pPr>
        <w:spacing w:before="240"/>
        <w:ind w:left="1134" w:hanging="1134"/>
        <w:jc w:val="both"/>
        <w:rPr>
          <w:rFonts w:ascii="Times New Roman" w:hAnsi="Times New Roman"/>
          <w:b/>
          <w:sz w:val="24"/>
          <w:szCs w:val="24"/>
        </w:rPr>
      </w:pPr>
      <w:bookmarkStart w:id="22" w:name="_Toc119839451"/>
      <w:bookmarkStart w:id="23"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2"/>
      <w:bookmarkEnd w:id="23"/>
    </w:p>
    <w:p w14:paraId="2207FB66" w14:textId="02881BB8"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030561">
        <w:rPr>
          <w:rFonts w:ascii="Times New Roman" w:hAnsi="Times New Roman"/>
          <w:sz w:val="22"/>
          <w:szCs w:val="22"/>
        </w:rPr>
        <w:t>n/a</w:t>
      </w:r>
    </w:p>
    <w:p w14:paraId="27443785" w14:textId="77777777" w:rsidR="0047783A" w:rsidRPr="003D6B6C" w:rsidRDefault="0047783A" w:rsidP="00B34179">
      <w:pPr>
        <w:spacing w:before="240"/>
        <w:ind w:left="1134" w:hanging="1134"/>
        <w:jc w:val="both"/>
        <w:rPr>
          <w:rFonts w:ascii="Times New Roman" w:hAnsi="Times New Roman"/>
          <w:b/>
          <w:sz w:val="24"/>
          <w:szCs w:val="24"/>
        </w:rPr>
      </w:pPr>
      <w:bookmarkStart w:id="24"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4"/>
    </w:p>
    <w:p w14:paraId="7F12BD62" w14:textId="77777777" w:rsidR="0047783A" w:rsidRPr="003D6B6C" w:rsidRDefault="0047783A" w:rsidP="00C73F87">
      <w:pPr>
        <w:ind w:left="1134"/>
        <w:rPr>
          <w:rFonts w:ascii="Times New Roman" w:hAnsi="Times New Roman"/>
          <w:sz w:val="22"/>
          <w:szCs w:val="22"/>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direct management</w:t>
      </w:r>
      <w:r w:rsidRPr="003D6B6C">
        <w:rPr>
          <w:rFonts w:ascii="Times New Roman" w:hAnsi="Times New Roman"/>
          <w:i/>
          <w:sz w:val="22"/>
          <w:szCs w:val="22"/>
        </w:rPr>
        <w:t>:</w:t>
      </w:r>
    </w:p>
    <w:p w14:paraId="0CF8512A" w14:textId="77777777" w:rsidR="0047783A" w:rsidRPr="003D6B6C" w:rsidRDefault="0047783A" w:rsidP="001B55AC">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amicably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be referred to the exclusive jurisdiction of</w:t>
      </w:r>
      <w:r w:rsidRPr="00F017DE">
        <w:rPr>
          <w:rFonts w:ascii="Times New Roman" w:hAnsi="Times New Roman"/>
          <w:i/>
          <w:sz w:val="22"/>
          <w:szCs w:val="22"/>
          <w:highlight w:val="lightGray"/>
        </w:rPr>
        <w:t xml:space="preserve"> </w:t>
      </w:r>
      <w:r w:rsidRPr="00F017DE">
        <w:rPr>
          <w:rFonts w:ascii="Times New Roman" w:hAnsi="Times New Roman"/>
          <w:sz w:val="22"/>
          <w:szCs w:val="22"/>
          <w:highlight w:val="lightGray"/>
        </w:rPr>
        <w:t>the courts of Brussels, Belgium</w:t>
      </w:r>
      <w:r w:rsidRPr="003D6B6C">
        <w:rPr>
          <w:rFonts w:ascii="Times New Roman" w:hAnsi="Times New Roman"/>
          <w:sz w:val="22"/>
          <w:szCs w:val="22"/>
        </w:rPr>
        <w:t>.]</w:t>
      </w:r>
    </w:p>
    <w:p w14:paraId="2D4E75C7" w14:textId="77777777" w:rsidR="0047783A" w:rsidRPr="003D6B6C" w:rsidRDefault="0047783A" w:rsidP="001B55AC">
      <w:pPr>
        <w:spacing w:before="0"/>
        <w:ind w:left="1134"/>
        <w:jc w:val="both"/>
        <w:rPr>
          <w:rFonts w:ascii="Times New Roman" w:hAnsi="Times New Roman"/>
          <w:sz w:val="22"/>
          <w:szCs w:val="22"/>
          <w:highlight w:val="yellow"/>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indirect management</w:t>
      </w:r>
      <w:r w:rsidRPr="003D6B6C">
        <w:rPr>
          <w:rFonts w:ascii="Times New Roman" w:hAnsi="Times New Roman"/>
          <w:sz w:val="22"/>
          <w:szCs w:val="22"/>
          <w:highlight w:val="yellow"/>
        </w:rPr>
        <w:t>:</w:t>
      </w:r>
    </w:p>
    <w:p w14:paraId="36090BA4" w14:textId="77777777" w:rsidR="0047783A" w:rsidRPr="003D6B6C" w:rsidRDefault="00216ADC"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General b</w:t>
      </w:r>
      <w:r w:rsidR="00F60098">
        <w:rPr>
          <w:rFonts w:ascii="Times New Roman" w:hAnsi="Times New Roman"/>
          <w:sz w:val="22"/>
          <w:szCs w:val="22"/>
          <w:highlight w:val="yellow"/>
        </w:rPr>
        <w:t>udget</w:t>
      </w:r>
      <w:r>
        <w:rPr>
          <w:rFonts w:ascii="Times New Roman" w:hAnsi="Times New Roman"/>
          <w:sz w:val="22"/>
          <w:szCs w:val="22"/>
          <w:highlight w:val="yellow"/>
        </w:rPr>
        <w:t xml:space="preserve"> of the Union</w:t>
      </w:r>
      <w:r w:rsidR="0047783A" w:rsidRPr="003D6B6C">
        <w:rPr>
          <w:rFonts w:ascii="Times New Roman" w:hAnsi="Times New Roman"/>
          <w:sz w:val="22"/>
          <w:szCs w:val="22"/>
          <w:highlight w:val="yellow"/>
        </w:rPr>
        <w:t>:</w:t>
      </w:r>
    </w:p>
    <w:p w14:paraId="14105CD6" w14:textId="77777777"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EITHER</w:t>
      </w:r>
    </w:p>
    <w:p w14:paraId="52C63171" w14:textId="77777777"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to the exclusive jurisdiction of &lt;</w:t>
      </w:r>
      <w:r w:rsidRPr="00F017DE">
        <w:rPr>
          <w:rFonts w:ascii="Times New Roman" w:hAnsi="Times New Roman"/>
          <w:sz w:val="22"/>
          <w:szCs w:val="22"/>
          <w:highlight w:val="yellow"/>
        </w:rPr>
        <w:t>specify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 xml:space="preserve">the national legislation of </w:t>
      </w:r>
      <w:r w:rsidR="009A0E33" w:rsidRPr="00F017DE">
        <w:rPr>
          <w:rFonts w:ascii="Times New Roman" w:hAnsi="Times New Roman"/>
          <w:sz w:val="22"/>
          <w:szCs w:val="22"/>
          <w:highlight w:val="lightGray"/>
        </w:rPr>
        <w:t xml:space="preserve">the state of </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w:t>
      </w:r>
      <w:r w:rsidR="0049293D">
        <w:rPr>
          <w:rFonts w:ascii="Times New Roman" w:hAnsi="Times New Roman"/>
          <w:sz w:val="22"/>
          <w:szCs w:val="22"/>
        </w:rPr>
        <w:t xml:space="preserve"> ]</w:t>
      </w:r>
    </w:p>
    <w:p w14:paraId="1863A2A1" w14:textId="77777777"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OR</w:t>
      </w:r>
    </w:p>
    <w:p w14:paraId="4162C784" w14:textId="77777777"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49293D">
        <w:rPr>
          <w:rFonts w:ascii="Times New Roman" w:hAnsi="Times New Roman"/>
          <w:sz w:val="22"/>
          <w:szCs w:val="22"/>
        </w:rPr>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for arbitration to &lt;</w:t>
      </w:r>
      <w:r w:rsidRPr="00F017DE">
        <w:rPr>
          <w:rFonts w:ascii="Times New Roman" w:hAnsi="Times New Roman"/>
          <w:sz w:val="22"/>
          <w:szCs w:val="22"/>
          <w:highlight w:val="yellow"/>
        </w:rPr>
        <w:t>specify the arbitration body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the rules of arbitration of [the International Chamber of Commerce</w:t>
      </w:r>
      <w:r w:rsidR="0049293D">
        <w:rPr>
          <w:rFonts w:ascii="Times New Roman" w:hAnsi="Times New Roman"/>
          <w:sz w:val="22"/>
          <w:szCs w:val="22"/>
          <w:highlight w:val="lightGray"/>
        </w:rPr>
        <w:t>] [</w:t>
      </w:r>
      <w:r w:rsidRPr="00F017DE">
        <w:rPr>
          <w:rFonts w:ascii="Times New Roman" w:hAnsi="Times New Roman"/>
          <w:sz w:val="22"/>
          <w:szCs w:val="22"/>
          <w:highlight w:val="lightGray"/>
        </w:rPr>
        <w:t>the United Nations Commission on International Trade Law</w:t>
      </w:r>
      <w:r w:rsidR="0049293D">
        <w:rPr>
          <w:rFonts w:ascii="Times New Roman" w:hAnsi="Times New Roman"/>
          <w:sz w:val="22"/>
          <w:szCs w:val="22"/>
          <w:highlight w:val="lightGray"/>
        </w:rPr>
        <w:t>] [</w:t>
      </w:r>
      <w:r w:rsidRPr="00F017DE">
        <w:rPr>
          <w:rFonts w:ascii="Times New Roman" w:hAnsi="Times New Roman"/>
          <w:sz w:val="22"/>
          <w:szCs w:val="22"/>
          <w:highlight w:val="lightGray"/>
        </w:rPr>
        <w:t xml:space="preserve">&lt; </w:t>
      </w:r>
      <w:r w:rsidRPr="00F017DE">
        <w:rPr>
          <w:rFonts w:ascii="Times New Roman" w:hAnsi="Times New Roman"/>
          <w:sz w:val="22"/>
          <w:szCs w:val="22"/>
          <w:highlight w:val="yellow"/>
        </w:rPr>
        <w:t xml:space="preserve">other internationally recognised procedure to be specified </w:t>
      </w:r>
      <w:r w:rsidRPr="00F017DE">
        <w:rPr>
          <w:rFonts w:ascii="Times New Roman" w:hAnsi="Times New Roman"/>
          <w:sz w:val="22"/>
          <w:szCs w:val="22"/>
          <w:highlight w:val="lightGray"/>
        </w:rPr>
        <w:t>&gt;</w:t>
      </w:r>
      <w:r w:rsidR="00407D3B">
        <w:rPr>
          <w:rFonts w:ascii="Times New Roman" w:hAnsi="Times New Roman"/>
          <w:sz w:val="22"/>
          <w:szCs w:val="22"/>
          <w:highlight w:val="lightGray"/>
        </w:rPr>
        <w:t>]</w:t>
      </w:r>
      <w:r w:rsidRPr="00F017DE">
        <w:rPr>
          <w:rFonts w:ascii="Times New Roman" w:hAnsi="Times New Roman"/>
          <w:sz w:val="22"/>
          <w:szCs w:val="22"/>
          <w:highlight w:val="lightGray"/>
        </w:rPr>
        <w:t>.]</w:t>
      </w:r>
    </w:p>
    <w:p w14:paraId="058CE24E" w14:textId="77777777" w:rsidR="0047783A" w:rsidRPr="003D6B6C" w:rsidRDefault="0047783A" w:rsidP="001B55AC">
      <w:pPr>
        <w:pStyle w:val="Title"/>
        <w:ind w:left="1134"/>
        <w:jc w:val="both"/>
        <w:rPr>
          <w:rFonts w:ascii="Times New Roman" w:hAnsi="Times New Roman"/>
          <w:b w:val="0"/>
          <w:bCs/>
          <w:smallCaps/>
          <w:sz w:val="22"/>
          <w:szCs w:val="22"/>
          <w:highlight w:val="yellow"/>
          <w:lang w:val="en-GB"/>
        </w:rPr>
      </w:pPr>
      <w:r w:rsidRPr="003D6B6C">
        <w:rPr>
          <w:rFonts w:ascii="Times New Roman" w:hAnsi="Times New Roman"/>
          <w:b w:val="0"/>
          <w:bCs/>
          <w:sz w:val="22"/>
          <w:szCs w:val="22"/>
          <w:highlight w:val="yellow"/>
          <w:lang w:val="en-GB"/>
        </w:rPr>
        <w:t>[EDF:</w:t>
      </w:r>
    </w:p>
    <w:p w14:paraId="08D28B87" w14:textId="77777777" w:rsidR="0047783A" w:rsidRPr="003D6B6C" w:rsidRDefault="0047783A" w:rsidP="001B55AC">
      <w:pPr>
        <w:tabs>
          <w:tab w:val="left" w:pos="1417"/>
          <w:tab w:val="left" w:pos="2126"/>
          <w:tab w:val="left" w:pos="2835"/>
        </w:tabs>
        <w:ind w:left="1134"/>
        <w:rPr>
          <w:rFonts w:ascii="Times New Roman" w:hAnsi="Times New Roman"/>
          <w:sz w:val="22"/>
          <w:szCs w:val="22"/>
        </w:rPr>
      </w:pPr>
      <w:r w:rsidRPr="003D6B6C">
        <w:rPr>
          <w:rFonts w:ascii="Times New Roman" w:hAnsi="Times New Roman"/>
          <w:sz w:val="22"/>
          <w:szCs w:val="22"/>
        </w:rPr>
        <w:t>[</w:t>
      </w:r>
      <w:r w:rsidRPr="00F017DE">
        <w:rPr>
          <w:rFonts w:ascii="Times New Roman" w:hAnsi="Times New Roman"/>
          <w:sz w:val="22"/>
          <w:szCs w:val="22"/>
          <w:highlight w:val="lightGray"/>
        </w:rPr>
        <w:t xml:space="preserve">Any dispute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w:t>
      </w:r>
    </w:p>
    <w:p w14:paraId="103F6E92" w14:textId="77777777" w:rsidR="0047783A" w:rsidRPr="00F017DE" w:rsidRDefault="001B55AC" w:rsidP="001B55AC">
      <w:pPr>
        <w:ind w:left="1560" w:hanging="426"/>
        <w:rPr>
          <w:rFonts w:ascii="Times New Roman" w:hAnsi="Times New Roman"/>
          <w:sz w:val="22"/>
          <w:szCs w:val="22"/>
          <w:highlight w:val="lightGray"/>
        </w:rPr>
      </w:pPr>
      <w:r w:rsidRPr="003D6B6C">
        <w:rPr>
          <w:rFonts w:ascii="Times New Roman" w:hAnsi="Times New Roman"/>
          <w:sz w:val="22"/>
          <w:szCs w:val="22"/>
        </w:rPr>
        <w:t>(a)</w:t>
      </w:r>
      <w:r w:rsidRPr="003D6B6C">
        <w:rPr>
          <w:rFonts w:ascii="Times New Roman" w:hAnsi="Times New Roman"/>
          <w:sz w:val="22"/>
          <w:szCs w:val="22"/>
        </w:rPr>
        <w:tab/>
      </w:r>
      <w:r w:rsidR="0047783A" w:rsidRPr="00F017DE">
        <w:rPr>
          <w:rFonts w:ascii="Times New Roman" w:hAnsi="Times New Roman"/>
          <w:sz w:val="22"/>
          <w:szCs w:val="22"/>
          <w:highlight w:val="lightGray"/>
        </w:rPr>
        <w:t xml:space="preserve">in the case of a national contract, be settled in accordance with the national legislation of the state of the </w:t>
      </w:r>
      <w:r w:rsidR="00F60098">
        <w:rPr>
          <w:rFonts w:ascii="Times New Roman" w:hAnsi="Times New Roman"/>
          <w:sz w:val="22"/>
          <w:szCs w:val="22"/>
          <w:highlight w:val="lightGray"/>
        </w:rPr>
        <w:t>c</w:t>
      </w:r>
      <w:r w:rsidR="0047783A"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47783A" w:rsidRPr="00F017DE">
        <w:rPr>
          <w:rFonts w:ascii="Times New Roman" w:hAnsi="Times New Roman"/>
          <w:sz w:val="22"/>
          <w:szCs w:val="22"/>
          <w:highlight w:val="lightGray"/>
        </w:rPr>
        <w:t>uthority; and</w:t>
      </w:r>
    </w:p>
    <w:p w14:paraId="6C81972D" w14:textId="77777777" w:rsidR="0047783A" w:rsidRPr="00F017DE" w:rsidRDefault="0047783A" w:rsidP="001B55AC">
      <w:pPr>
        <w:ind w:left="1560" w:hanging="426"/>
        <w:rPr>
          <w:rFonts w:ascii="Times New Roman" w:hAnsi="Times New Roman"/>
          <w:sz w:val="22"/>
          <w:szCs w:val="22"/>
          <w:highlight w:val="lightGray"/>
        </w:rPr>
      </w:pPr>
      <w:r w:rsidRPr="00F017DE">
        <w:rPr>
          <w:rFonts w:ascii="Times New Roman" w:hAnsi="Times New Roman"/>
          <w:sz w:val="22"/>
          <w:szCs w:val="22"/>
          <w:highlight w:val="lightGray"/>
        </w:rPr>
        <w:lastRenderedPageBreak/>
        <w:t>(b)</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in the case of a transnational contract, be settled either:</w:t>
      </w:r>
    </w:p>
    <w:p w14:paraId="429185C5" w14:textId="77777777" w:rsidR="0047783A" w:rsidRPr="00F017DE" w:rsidRDefault="0047783A" w:rsidP="001B55AC">
      <w:pPr>
        <w:tabs>
          <w:tab w:val="left" w:pos="2835"/>
        </w:tabs>
        <w:ind w:left="1985" w:hanging="425"/>
        <w:rPr>
          <w:rFonts w:ascii="Times New Roman" w:hAnsi="Times New Roman"/>
          <w:sz w:val="22"/>
          <w:szCs w:val="22"/>
          <w:highlight w:val="lightGray"/>
        </w:rPr>
      </w:pPr>
      <w:r w:rsidRPr="00F017DE">
        <w:rPr>
          <w:rFonts w:ascii="Times New Roman" w:hAnsi="Times New Roman"/>
          <w:sz w:val="22"/>
          <w:szCs w:val="22"/>
          <w:highlight w:val="lightGray"/>
        </w:rPr>
        <w:t>(i)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if the parties to the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so agree, in accordance with the national legislation of the </w:t>
      </w:r>
      <w:r w:rsidR="00686ACD" w:rsidRPr="00F017DE">
        <w:rPr>
          <w:rFonts w:ascii="Times New Roman" w:hAnsi="Times New Roman"/>
          <w:sz w:val="22"/>
          <w:szCs w:val="22"/>
          <w:highlight w:val="lightGray"/>
        </w:rPr>
        <w:t xml:space="preserve">state of the </w:t>
      </w:r>
      <w:r w:rsidR="00F60098">
        <w:rPr>
          <w:rFonts w:ascii="Times New Roman" w:hAnsi="Times New Roman"/>
          <w:sz w:val="22"/>
          <w:szCs w:val="22"/>
          <w:highlight w:val="lightGray"/>
        </w:rPr>
        <w:t>c</w:t>
      </w:r>
      <w:r w:rsidR="00686ACD"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686ACD" w:rsidRPr="00F017DE">
        <w:rPr>
          <w:rFonts w:ascii="Times New Roman" w:hAnsi="Times New Roman"/>
          <w:sz w:val="22"/>
          <w:szCs w:val="22"/>
          <w:highlight w:val="lightGray"/>
        </w:rPr>
        <w:t xml:space="preserve">uthority </w:t>
      </w:r>
      <w:r w:rsidRPr="00F017DE">
        <w:rPr>
          <w:rFonts w:ascii="Times New Roman" w:hAnsi="Times New Roman"/>
          <w:sz w:val="22"/>
          <w:szCs w:val="22"/>
          <w:highlight w:val="lightGray"/>
        </w:rPr>
        <w:t>or its established international practices; or</w:t>
      </w:r>
    </w:p>
    <w:p w14:paraId="63C5AA1C" w14:textId="77777777" w:rsidR="0038357E" w:rsidRPr="003D6B6C" w:rsidRDefault="0047783A" w:rsidP="0038357E">
      <w:pPr>
        <w:autoSpaceDE w:val="0"/>
        <w:autoSpaceDN w:val="0"/>
        <w:adjustRightInd w:val="0"/>
        <w:ind w:left="1985" w:hanging="425"/>
        <w:jc w:val="both"/>
        <w:rPr>
          <w:rFonts w:ascii="Times New Roman" w:hAnsi="Times New Roman"/>
          <w:sz w:val="22"/>
          <w:szCs w:val="22"/>
          <w:lang w:bidi="kn-IN"/>
        </w:rPr>
      </w:pPr>
      <w:r w:rsidRPr="00F017DE">
        <w:rPr>
          <w:rFonts w:ascii="Times New Roman" w:hAnsi="Times New Roman"/>
          <w:sz w:val="22"/>
          <w:szCs w:val="22"/>
          <w:highlight w:val="lightGray"/>
        </w:rPr>
        <w:t>(ii)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by arbitration in accordance with the </w:t>
      </w:r>
      <w:r w:rsidR="00F60098">
        <w:rPr>
          <w:rFonts w:ascii="Times New Roman" w:hAnsi="Times New Roman"/>
          <w:sz w:val="22"/>
          <w:szCs w:val="22"/>
          <w:highlight w:val="lightGray"/>
        </w:rPr>
        <w:t>p</w:t>
      </w:r>
      <w:r w:rsidRPr="00F017DE">
        <w:rPr>
          <w:rFonts w:ascii="Times New Roman" w:hAnsi="Times New Roman"/>
          <w:sz w:val="22"/>
          <w:szCs w:val="22"/>
          <w:highlight w:val="lightGray"/>
        </w:rPr>
        <w:t>rocedural rules on conciliation and arbitration of contracts financed by the European Development Fund, adopted by Decision 3/90 of the ACP-EEC Council of Ministers of 29</w:t>
      </w:r>
      <w:r w:rsidR="00035D61" w:rsidRPr="00F017DE">
        <w:rPr>
          <w:rFonts w:ascii="Times New Roman" w:hAnsi="Times New Roman"/>
          <w:sz w:val="22"/>
          <w:szCs w:val="22"/>
          <w:highlight w:val="lightGray"/>
        </w:rPr>
        <w:t> </w:t>
      </w:r>
      <w:r w:rsidRPr="00F017DE">
        <w:rPr>
          <w:rFonts w:ascii="Times New Roman" w:hAnsi="Times New Roman"/>
          <w:sz w:val="22"/>
          <w:szCs w:val="22"/>
          <w:highlight w:val="lightGray"/>
        </w:rPr>
        <w:t>March 1990 (Official Journal No L 382, 31.12.1990</w:t>
      </w:r>
      <w:r w:rsidR="0038357E" w:rsidRPr="00F017DE">
        <w:rPr>
          <w:rFonts w:ascii="Times New Roman" w:hAnsi="Times New Roman"/>
          <w:sz w:val="22"/>
          <w:szCs w:val="22"/>
          <w:highlight w:val="lightGray"/>
        </w:rPr>
        <w:t xml:space="preserve">, </w:t>
      </w:r>
      <w:r w:rsidRPr="00F017DE">
        <w:rPr>
          <w:rFonts w:ascii="Times New Roman" w:hAnsi="Times New Roman"/>
          <w:sz w:val="22"/>
          <w:szCs w:val="22"/>
          <w:highlight w:val="lightGray"/>
        </w:rPr>
        <w:t xml:space="preserve"> Annex a12 to the </w:t>
      </w:r>
      <w:r w:rsidR="00686E07">
        <w:rPr>
          <w:rFonts w:ascii="Times New Roman" w:hAnsi="Times New Roman"/>
          <w:sz w:val="22"/>
          <w:szCs w:val="22"/>
          <w:highlight w:val="lightGray"/>
        </w:rPr>
        <w:t>p</w:t>
      </w:r>
      <w:r w:rsidRPr="00F017DE">
        <w:rPr>
          <w:rFonts w:ascii="Times New Roman" w:hAnsi="Times New Roman"/>
          <w:sz w:val="22"/>
          <w:szCs w:val="22"/>
          <w:highlight w:val="lightGray"/>
        </w:rPr>
        <w:t xml:space="preserve">ractical </w:t>
      </w:r>
      <w:r w:rsidR="00686E07">
        <w:rPr>
          <w:rFonts w:ascii="Times New Roman" w:hAnsi="Times New Roman"/>
          <w:sz w:val="22"/>
          <w:szCs w:val="22"/>
          <w:highlight w:val="lightGray"/>
        </w:rPr>
        <w:t>g</w:t>
      </w:r>
      <w:r w:rsidRPr="00F017DE">
        <w:rPr>
          <w:rFonts w:ascii="Times New Roman" w:hAnsi="Times New Roman"/>
          <w:sz w:val="22"/>
          <w:szCs w:val="22"/>
          <w:highlight w:val="lightGray"/>
        </w:rPr>
        <w:t>uide)</w:t>
      </w:r>
      <w:r w:rsidR="0049293D">
        <w:rPr>
          <w:rFonts w:ascii="Times New Roman" w:hAnsi="Times New Roman"/>
          <w:sz w:val="22"/>
          <w:szCs w:val="22"/>
          <w:highlight w:val="yellow"/>
          <w:lang w:bidi="kn-IN"/>
        </w:rPr>
        <w:t xml:space="preserve"> </w:t>
      </w:r>
      <w:r w:rsidR="0038357E" w:rsidRPr="003D6B6C">
        <w:rPr>
          <w:rFonts w:ascii="Times New Roman" w:hAnsi="Times New Roman"/>
          <w:sz w:val="22"/>
          <w:szCs w:val="22"/>
          <w:highlight w:val="yellow"/>
          <w:lang w:bidi="kn-IN"/>
        </w:rPr>
        <w:t xml:space="preserve">Please attach Annex A12 of the </w:t>
      </w:r>
      <w:r w:rsidR="00686E07">
        <w:rPr>
          <w:rFonts w:ascii="Times New Roman" w:hAnsi="Times New Roman"/>
          <w:sz w:val="22"/>
          <w:szCs w:val="22"/>
          <w:highlight w:val="yellow"/>
          <w:lang w:bidi="kn-IN"/>
        </w:rPr>
        <w:t>p</w:t>
      </w:r>
      <w:r w:rsidR="0038357E" w:rsidRPr="003D6B6C">
        <w:rPr>
          <w:rFonts w:ascii="Times New Roman" w:hAnsi="Times New Roman"/>
          <w:sz w:val="22"/>
          <w:szCs w:val="22"/>
          <w:highlight w:val="yellow"/>
          <w:lang w:bidi="kn-IN"/>
        </w:rPr>
        <w:t xml:space="preserve">ractical </w:t>
      </w:r>
      <w:r w:rsidR="00686E07">
        <w:rPr>
          <w:rFonts w:ascii="Times New Roman" w:hAnsi="Times New Roman"/>
          <w:sz w:val="22"/>
          <w:szCs w:val="22"/>
          <w:highlight w:val="yellow"/>
          <w:lang w:bidi="kn-IN"/>
        </w:rPr>
        <w:t>g</w:t>
      </w:r>
      <w:r w:rsidR="0038357E" w:rsidRPr="003D6B6C">
        <w:rPr>
          <w:rFonts w:ascii="Times New Roman" w:hAnsi="Times New Roman"/>
          <w:sz w:val="22"/>
          <w:szCs w:val="22"/>
          <w:highlight w:val="yellow"/>
          <w:lang w:bidi="kn-IN"/>
        </w:rPr>
        <w:t>uide to the present contract</w:t>
      </w:r>
      <w:r w:rsidR="0011156A">
        <w:rPr>
          <w:rFonts w:ascii="Times New Roman" w:hAnsi="Times New Roman"/>
          <w:sz w:val="22"/>
          <w:szCs w:val="22"/>
          <w:lang w:bidi="kn-IN"/>
        </w:rPr>
        <w:t>.</w:t>
      </w:r>
      <w:r w:rsidR="0049293D">
        <w:rPr>
          <w:rFonts w:ascii="Times New Roman" w:hAnsi="Times New Roman"/>
          <w:sz w:val="22"/>
          <w:szCs w:val="22"/>
          <w:lang w:bidi="kn-IN"/>
        </w:rPr>
        <w:t>]</w:t>
      </w:r>
    </w:p>
    <w:p w14:paraId="311BE251" w14:textId="77777777" w:rsidR="00407C90" w:rsidRPr="003D6B6C" w:rsidRDefault="00407C90" w:rsidP="00407C90">
      <w:pPr>
        <w:ind w:left="567" w:hanging="567"/>
        <w:rPr>
          <w:rFonts w:ascii="Times New Roman" w:hAnsi="Times New Roman"/>
          <w:sz w:val="22"/>
          <w:szCs w:val="22"/>
          <w:highlight w:val="yellow"/>
        </w:rPr>
      </w:pPr>
    </w:p>
    <w:p w14:paraId="15C617B8" w14:textId="77777777"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sidRPr="00F017DE">
        <w:rPr>
          <w:rFonts w:ascii="Times New Roman" w:hAnsi="Times New Roman"/>
          <w:b/>
          <w:sz w:val="24"/>
          <w:szCs w:val="24"/>
          <w:highlight w:val="lightGray"/>
        </w:rPr>
        <w:t>Article 44</w:t>
      </w:r>
      <w:r w:rsidRPr="00F017DE">
        <w:rPr>
          <w:rFonts w:ascii="Times New Roman" w:hAnsi="Times New Roman"/>
          <w:b/>
          <w:sz w:val="24"/>
          <w:szCs w:val="24"/>
          <w:highlight w:val="lightGray"/>
        </w:rPr>
        <w:tab/>
        <w:t xml:space="preserve">Data </w:t>
      </w:r>
      <w:r w:rsidR="00686E07">
        <w:rPr>
          <w:rFonts w:ascii="Times New Roman" w:hAnsi="Times New Roman"/>
          <w:b/>
          <w:sz w:val="24"/>
          <w:szCs w:val="24"/>
          <w:highlight w:val="lightGray"/>
        </w:rPr>
        <w:t>p</w:t>
      </w:r>
      <w:r w:rsidRPr="00F017DE">
        <w:rPr>
          <w:rFonts w:ascii="Times New Roman" w:hAnsi="Times New Roman"/>
          <w:b/>
          <w:sz w:val="24"/>
          <w:szCs w:val="24"/>
          <w:highlight w:val="lightGray"/>
        </w:rPr>
        <w:t>rotection</w:t>
      </w:r>
    </w:p>
    <w:p w14:paraId="6B889C99" w14:textId="77777777" w:rsidR="009F7E6A" w:rsidRDefault="009F7E6A" w:rsidP="009F7E6A">
      <w:pPr>
        <w:jc w:val="both"/>
        <w:rPr>
          <w:rFonts w:ascii="Times New Roman" w:hAnsi="Times New Roman"/>
          <w:sz w:val="22"/>
          <w:szCs w:val="22"/>
        </w:rPr>
      </w:pPr>
      <w:r>
        <w:rPr>
          <w:rFonts w:ascii="Times New Roman" w:hAnsi="Times New Roman"/>
          <w:sz w:val="24"/>
          <w:szCs w:val="24"/>
        </w:rPr>
        <w:t>[</w:t>
      </w:r>
      <w:r w:rsidRPr="00F4288C">
        <w:rPr>
          <w:rFonts w:ascii="Times New Roman" w:hAnsi="Times New Roman"/>
          <w:sz w:val="22"/>
          <w:szCs w:val="22"/>
          <w:highlight w:val="yellow"/>
        </w:rPr>
        <w:t xml:space="preserve">The following text is to be inserted </w:t>
      </w:r>
      <w:r w:rsidRPr="009F7E6A">
        <w:rPr>
          <w:rFonts w:ascii="Times New Roman" w:hAnsi="Times New Roman"/>
          <w:sz w:val="22"/>
          <w:szCs w:val="22"/>
          <w:highlight w:val="yellow"/>
        </w:rPr>
        <w:t>f</w:t>
      </w:r>
      <w:r w:rsidRPr="00F4288C">
        <w:rPr>
          <w:rFonts w:ascii="Times New Roman" w:hAnsi="Times New Roman"/>
          <w:sz w:val="22"/>
          <w:szCs w:val="22"/>
          <w:highlight w:val="yellow"/>
        </w:rPr>
        <w:t>or indirect management</w:t>
      </w:r>
      <w:r>
        <w:rPr>
          <w:rFonts w:ascii="Times New Roman" w:hAnsi="Times New Roman"/>
          <w:sz w:val="22"/>
          <w:szCs w:val="22"/>
          <w:highlight w:val="yellow"/>
        </w:rPr>
        <w:t>]</w:t>
      </w:r>
      <w:r w:rsidRPr="00F4288C">
        <w:rPr>
          <w:rFonts w:ascii="Times New Roman" w:hAnsi="Times New Roman"/>
          <w:sz w:val="22"/>
          <w:szCs w:val="22"/>
          <w:highlight w:val="yellow"/>
        </w:rPr>
        <w:t xml:space="preserve"> </w:t>
      </w:r>
    </w:p>
    <w:p w14:paraId="72EC809B" w14:textId="77777777" w:rsidR="009F7E6A" w:rsidRPr="00F4288C" w:rsidRDefault="009F7E6A" w:rsidP="009F7E6A">
      <w:pPr>
        <w:jc w:val="both"/>
        <w:rPr>
          <w:rFonts w:ascii="Times New Roman" w:hAnsi="Times New Roman"/>
          <w:sz w:val="22"/>
          <w:szCs w:val="22"/>
          <w:highlight w:val="lightGray"/>
        </w:rPr>
      </w:pPr>
      <w:r w:rsidRPr="00F4288C">
        <w:rPr>
          <w:rFonts w:ascii="Times New Roman" w:hAnsi="Times New Roman"/>
          <w:sz w:val="22"/>
          <w:szCs w:val="22"/>
        </w:rPr>
        <w:t>[</w:t>
      </w:r>
      <w:r w:rsidRPr="00F4288C">
        <w:rPr>
          <w:rFonts w:ascii="Times New Roman" w:hAnsi="Times New Roman"/>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760EB138" w14:textId="77777777" w:rsidR="009F7E6A" w:rsidRPr="00F4288C" w:rsidRDefault="009F7E6A" w:rsidP="009F7E6A">
      <w:pPr>
        <w:jc w:val="both"/>
        <w:rPr>
          <w:rFonts w:ascii="Times New Roman" w:hAnsi="Times New Roman"/>
          <w:sz w:val="22"/>
          <w:szCs w:val="22"/>
          <w:u w:val="single"/>
        </w:rPr>
      </w:pPr>
      <w:r w:rsidRPr="00F4288C">
        <w:rPr>
          <w:rFonts w:ascii="Times New Roman" w:hAnsi="Times New Roman"/>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F4288C">
        <w:rPr>
          <w:rStyle w:val="FootnoteReference"/>
          <w:rFonts w:ascii="Times New Roman" w:hAnsi="Times New Roman"/>
          <w:sz w:val="22"/>
          <w:szCs w:val="22"/>
          <w:highlight w:val="lightGray"/>
        </w:rPr>
        <w:footnoteReference w:id="2"/>
      </w:r>
      <w:r w:rsidRPr="00F4288C">
        <w:rPr>
          <w:rFonts w:ascii="Times New Roman" w:hAnsi="Times New Roman"/>
          <w:sz w:val="22"/>
          <w:szCs w:val="22"/>
          <w:highlight w:val="lightGray"/>
        </w:rPr>
        <w:t xml:space="preserve"> and as detailed in the specific privacy statement published at ePRAG.</w:t>
      </w:r>
      <w:r w:rsidRPr="00F4288C">
        <w:rPr>
          <w:rFonts w:ascii="Times New Roman" w:hAnsi="Times New Roman"/>
          <w:sz w:val="22"/>
          <w:szCs w:val="22"/>
          <w:u w:val="single"/>
        </w:rPr>
        <w:t>]</w:t>
      </w:r>
    </w:p>
    <w:p w14:paraId="2CB19560" w14:textId="77777777" w:rsidR="00B605B6" w:rsidRPr="003D6B6C" w:rsidRDefault="009F7E6A" w:rsidP="00872DA7">
      <w:pPr>
        <w:pStyle w:val="ListNumber"/>
        <w:numPr>
          <w:ilvl w:val="0"/>
          <w:numId w:val="0"/>
        </w:numPr>
        <w:spacing w:before="240"/>
        <w:ind w:left="1134" w:hanging="1134"/>
        <w:rPr>
          <w:b/>
          <w:szCs w:val="24"/>
        </w:rPr>
      </w:pPr>
      <w:r w:rsidRPr="003D6B6C" w:rsidDel="009F7E6A">
        <w:rPr>
          <w:sz w:val="22"/>
          <w:szCs w:val="22"/>
          <w:highlight w:val="yellow"/>
        </w:rPr>
        <w:t xml:space="preserve"> </w:t>
      </w:r>
      <w:r w:rsidR="00B605B6" w:rsidRPr="003D6B6C">
        <w:rPr>
          <w:b/>
          <w:szCs w:val="24"/>
        </w:rPr>
        <w:t>[</w:t>
      </w:r>
      <w:r w:rsidR="00B605B6" w:rsidRPr="00F017DE">
        <w:rPr>
          <w:b/>
          <w:szCs w:val="24"/>
          <w:highlight w:val="lightGray"/>
        </w:rPr>
        <w:t>Article 45</w:t>
      </w:r>
      <w:r w:rsidR="00B605B6" w:rsidRPr="00F017DE">
        <w:rPr>
          <w:b/>
          <w:szCs w:val="24"/>
          <w:highlight w:val="lightGray"/>
        </w:rPr>
        <w:tab/>
      </w:r>
      <w:r w:rsidR="00B605B6" w:rsidRPr="00F017DE">
        <w:rPr>
          <w:b/>
          <w:szCs w:val="24"/>
          <w:highlight w:val="yellow"/>
        </w:rPr>
        <w:t>Further additional clauses</w:t>
      </w:r>
    </w:p>
    <w:p w14:paraId="33BC4A3C" w14:textId="77777777" w:rsidR="00B605B6" w:rsidRDefault="00B605B6" w:rsidP="0011156A">
      <w:pPr>
        <w:pStyle w:val="ListNumber"/>
        <w:numPr>
          <w:ilvl w:val="0"/>
          <w:numId w:val="0"/>
        </w:numPr>
        <w:rPr>
          <w:sz w:val="22"/>
          <w:szCs w:val="22"/>
        </w:rPr>
      </w:pPr>
      <w:r w:rsidRPr="003D6B6C">
        <w:rPr>
          <w:sz w:val="22"/>
          <w:szCs w:val="22"/>
          <w:highlight w:val="yellow"/>
        </w:rPr>
        <w:t>&lt;Add other clauses approved by the competent Commission departments.&gt;</w:t>
      </w:r>
      <w:r w:rsidR="0049293D">
        <w:rPr>
          <w:sz w:val="22"/>
          <w:szCs w:val="22"/>
        </w:rPr>
        <w:t xml:space="preserve"> </w:t>
      </w:r>
    </w:p>
    <w:p w14:paraId="5978A8C7"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859C" w14:textId="77777777" w:rsidR="00EB79C1" w:rsidRPr="006A5F84" w:rsidRDefault="00EB79C1">
      <w:r w:rsidRPr="006A5F84">
        <w:separator/>
      </w:r>
    </w:p>
  </w:endnote>
  <w:endnote w:type="continuationSeparator" w:id="0">
    <w:p w14:paraId="17E63787" w14:textId="77777777" w:rsidR="00EB79C1" w:rsidRPr="006A5F84" w:rsidRDefault="00EB79C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4D34"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18AD9D"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24AC" w14:textId="2CB4C0AD"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3C24C8">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3C24C8">
      <w:rPr>
        <w:rStyle w:val="PageNumber"/>
        <w:rFonts w:ascii="Times New Roman" w:hAnsi="Times New Roman"/>
        <w:noProof/>
        <w:sz w:val="18"/>
        <w:szCs w:val="18"/>
        <w:lang w:val="en-GB"/>
      </w:rPr>
      <w:t>7</w:t>
    </w:r>
    <w:r w:rsidR="007E36E3" w:rsidRPr="009423FB">
      <w:rPr>
        <w:rStyle w:val="PageNumber"/>
        <w:rFonts w:ascii="Times New Roman" w:hAnsi="Times New Roman"/>
        <w:sz w:val="18"/>
        <w:szCs w:val="18"/>
      </w:rPr>
      <w:fldChar w:fldCharType="end"/>
    </w:r>
  </w:p>
  <w:p w14:paraId="2E3B92FB"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57B3"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2AFA2EFE"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3AE3" w14:textId="77777777" w:rsidR="00EB79C1" w:rsidRPr="006A5F84" w:rsidRDefault="00EB79C1">
      <w:r w:rsidRPr="006A5F84">
        <w:separator/>
      </w:r>
    </w:p>
  </w:footnote>
  <w:footnote w:type="continuationSeparator" w:id="0">
    <w:p w14:paraId="7E5EE9E0" w14:textId="77777777" w:rsidR="00EB79C1" w:rsidRPr="006A5F84" w:rsidRDefault="00EB79C1">
      <w:r w:rsidRPr="006A5F84">
        <w:continuationSeparator/>
      </w:r>
    </w:p>
  </w:footnote>
  <w:footnote w:id="1">
    <w:p w14:paraId="461CC097" w14:textId="77777777" w:rsidR="00F0405C" w:rsidRPr="009F7E6A" w:rsidRDefault="00F0405C" w:rsidP="00C73F87">
      <w:pPr>
        <w:pStyle w:val="FootnoteText"/>
        <w:rPr>
          <w:highlight w:val="yellow"/>
          <w:lang w:val="en-GB"/>
        </w:rPr>
      </w:pPr>
      <w:r>
        <w:rPr>
          <w:rStyle w:val="FootnoteReference"/>
        </w:rPr>
        <w:footnoteRef/>
      </w:r>
      <w:r w:rsidRPr="009F7E6A">
        <w:rPr>
          <w:lang w:val="en-GB"/>
        </w:rPr>
        <w:t xml:space="preserve"> </w:t>
      </w:r>
      <w:r w:rsidR="00E36C8F" w:rsidRPr="009F7E6A">
        <w:rPr>
          <w:highlight w:val="yellow"/>
          <w:lang w:val="en-GB"/>
        </w:rPr>
        <w:t xml:space="preserve">Such risk assessment is required, for example, </w:t>
      </w:r>
      <w:r w:rsidR="00930AD1" w:rsidRPr="009F7E6A">
        <w:rPr>
          <w:highlight w:val="yellow"/>
          <w:lang w:val="en-GB"/>
        </w:rPr>
        <w:t>when a company is awarded a contract without itself meeting the selection criteria, but relying on the capacity of another company.</w:t>
      </w:r>
    </w:p>
  </w:footnote>
  <w:footnote w:id="2">
    <w:p w14:paraId="581539A5" w14:textId="77777777"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0561"/>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25645"/>
    <w:rsid w:val="003308C6"/>
    <w:rsid w:val="0033212F"/>
    <w:rsid w:val="003323F5"/>
    <w:rsid w:val="003330F8"/>
    <w:rsid w:val="0033317A"/>
    <w:rsid w:val="00335E06"/>
    <w:rsid w:val="003409B8"/>
    <w:rsid w:val="003439C4"/>
    <w:rsid w:val="00347B7E"/>
    <w:rsid w:val="003502E9"/>
    <w:rsid w:val="00351351"/>
    <w:rsid w:val="00360344"/>
    <w:rsid w:val="003613D2"/>
    <w:rsid w:val="003617A7"/>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24C8"/>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557E"/>
    <w:rsid w:val="004B7463"/>
    <w:rsid w:val="004C270A"/>
    <w:rsid w:val="004C35B5"/>
    <w:rsid w:val="004C3C82"/>
    <w:rsid w:val="004C77A2"/>
    <w:rsid w:val="004D2FD8"/>
    <w:rsid w:val="004D33C9"/>
    <w:rsid w:val="004E43B2"/>
    <w:rsid w:val="004E6C5D"/>
    <w:rsid w:val="004F4E14"/>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4FF5"/>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4E3D"/>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39D5"/>
    <w:rsid w:val="009143FD"/>
    <w:rsid w:val="00920A51"/>
    <w:rsid w:val="00922542"/>
    <w:rsid w:val="00923EDA"/>
    <w:rsid w:val="009251E3"/>
    <w:rsid w:val="00925DBE"/>
    <w:rsid w:val="00930AD1"/>
    <w:rsid w:val="0093582A"/>
    <w:rsid w:val="0094670B"/>
    <w:rsid w:val="00950B0C"/>
    <w:rsid w:val="00963D7C"/>
    <w:rsid w:val="0096744F"/>
    <w:rsid w:val="0097475B"/>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5706"/>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626A"/>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49C0"/>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1301"/>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B79C1"/>
    <w:rsid w:val="00EC51B6"/>
    <w:rsid w:val="00ED23D2"/>
    <w:rsid w:val="00ED494E"/>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122E"/>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976C5"/>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C0E3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313336587">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EC77-7904-4194-97E7-73D776D2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16098</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18</cp:revision>
  <cp:lastPrinted>2014-02-11T14:32:00Z</cp:lastPrinted>
  <dcterms:created xsi:type="dcterms:W3CDTF">2020-06-04T06:45:00Z</dcterms:created>
  <dcterms:modified xsi:type="dcterms:W3CDTF">2020-12-29T08:55:00Z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