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4" w:rsidRPr="00430315" w:rsidRDefault="00DA4734" w:rsidP="00430315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1500"/>
      </w:tblGrid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Rationale</w:t>
            </w:r>
          </w:p>
        </w:tc>
        <w:tc>
          <w:tcPr>
            <w:tcW w:w="1500" w:type="dxa"/>
          </w:tcPr>
          <w:p w:rsidR="00DA4734" w:rsidRPr="0019590B" w:rsidRDefault="004D5AD2" w:rsidP="004D5AD2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10</w:t>
            </w:r>
            <w:r w:rsidR="00AE6AD4" w:rsidRPr="0019590B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Strategy</w:t>
            </w:r>
          </w:p>
        </w:tc>
        <w:tc>
          <w:tcPr>
            <w:tcW w:w="1500" w:type="dxa"/>
          </w:tcPr>
          <w:p w:rsidR="00DA4734" w:rsidRPr="0019590B" w:rsidRDefault="004D5AD2" w:rsidP="004D5AD2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30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Timetable of activities</w:t>
            </w:r>
            <w:r w:rsidR="00DE32C5" w:rsidRPr="0019590B">
              <w:rPr>
                <w:sz w:val="22"/>
                <w:szCs w:val="22"/>
              </w:rPr>
              <w:t>, including the number of expert days proposed</w:t>
            </w:r>
          </w:p>
        </w:tc>
        <w:tc>
          <w:tcPr>
            <w:tcW w:w="1500" w:type="dxa"/>
          </w:tcPr>
          <w:p w:rsidR="00DA4734" w:rsidRPr="0019590B" w:rsidRDefault="0019590B" w:rsidP="00AE6AD4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20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B44B5C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o</w:t>
            </w:r>
            <w:r w:rsidRPr="00430315">
              <w:rPr>
                <w:b/>
                <w:sz w:val="22"/>
                <w:szCs w:val="22"/>
              </w:rPr>
              <w:t>rganisation and methodology</w:t>
            </w:r>
          </w:p>
        </w:tc>
        <w:tc>
          <w:tcPr>
            <w:tcW w:w="1500" w:type="dxa"/>
            <w:shd w:val="clear" w:color="auto" w:fill="auto"/>
          </w:tcPr>
          <w:p w:rsidR="00DA4734" w:rsidRPr="00E96923" w:rsidRDefault="0019590B" w:rsidP="00AE6A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Key experts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19590B" w:rsidRDefault="00DA4734" w:rsidP="0019590B">
            <w:pPr>
              <w:rPr>
                <w:b/>
                <w:sz w:val="22"/>
                <w:szCs w:val="22"/>
              </w:rPr>
            </w:pPr>
            <w:r w:rsidRPr="0019590B">
              <w:rPr>
                <w:b/>
                <w:sz w:val="22"/>
                <w:szCs w:val="22"/>
              </w:rPr>
              <w:t xml:space="preserve">Key expert 1 </w:t>
            </w:r>
          </w:p>
        </w:tc>
        <w:tc>
          <w:tcPr>
            <w:tcW w:w="1500" w:type="dxa"/>
            <w:shd w:val="clear" w:color="auto" w:fill="auto"/>
          </w:tcPr>
          <w:p w:rsidR="00DA4734" w:rsidRPr="0019590B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Qualifications and skills</w:t>
            </w:r>
          </w:p>
        </w:tc>
        <w:tc>
          <w:tcPr>
            <w:tcW w:w="1500" w:type="dxa"/>
            <w:shd w:val="clear" w:color="auto" w:fill="auto"/>
          </w:tcPr>
          <w:p w:rsidR="00DA4734" w:rsidRPr="0019590B" w:rsidRDefault="0019590B" w:rsidP="00AE6AD4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10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General professional experience</w:t>
            </w:r>
          </w:p>
        </w:tc>
        <w:tc>
          <w:tcPr>
            <w:tcW w:w="1500" w:type="dxa"/>
            <w:shd w:val="clear" w:color="auto" w:fill="auto"/>
          </w:tcPr>
          <w:p w:rsidR="00DA4734" w:rsidRPr="0019590B" w:rsidRDefault="0019590B" w:rsidP="00AE6AD4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10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19590B" w:rsidRDefault="00DA4734" w:rsidP="00430315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Specific professional experience</w:t>
            </w:r>
          </w:p>
        </w:tc>
        <w:tc>
          <w:tcPr>
            <w:tcW w:w="1500" w:type="dxa"/>
            <w:shd w:val="clear" w:color="auto" w:fill="auto"/>
          </w:tcPr>
          <w:p w:rsidR="00DA4734" w:rsidRPr="0019590B" w:rsidRDefault="0019590B" w:rsidP="00AE6AD4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20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531F73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k</w:t>
            </w:r>
            <w:r w:rsidRPr="00430315">
              <w:rPr>
                <w:b/>
                <w:sz w:val="22"/>
                <w:szCs w:val="22"/>
              </w:rPr>
              <w:t>ey experts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9590B" w:rsidP="0019590B">
            <w:pPr>
              <w:jc w:val="right"/>
              <w:rPr>
                <w:b/>
                <w:sz w:val="22"/>
                <w:szCs w:val="22"/>
                <w:highlight w:val="lightGray"/>
              </w:rPr>
            </w:pPr>
            <w:r w:rsidRPr="0019590B">
              <w:rPr>
                <w:b/>
                <w:sz w:val="22"/>
                <w:szCs w:val="22"/>
              </w:rPr>
              <w:t>40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430315" w:rsidRDefault="00430315">
      <w:pPr>
        <w:rPr>
          <w:sz w:val="22"/>
          <w:szCs w:val="22"/>
        </w:rPr>
      </w:pPr>
    </w:p>
    <w:p w:rsidR="00026EAE" w:rsidRDefault="00026EAE">
      <w:pPr>
        <w:rPr>
          <w:sz w:val="22"/>
          <w:szCs w:val="22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6954"/>
      </w:tblGrid>
      <w:tr w:rsidR="00026EAE" w:rsidRPr="004F4330" w:rsidTr="00401193">
        <w:trPr>
          <w:trHeight w:val="357"/>
          <w:jc w:val="center"/>
        </w:trPr>
        <w:tc>
          <w:tcPr>
            <w:tcW w:w="1478" w:type="dxa"/>
            <w:shd w:val="pct10" w:color="auto" w:fill="FFFFFF"/>
            <w:vAlign w:val="center"/>
          </w:tcPr>
          <w:p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6954" w:type="dxa"/>
            <w:vAlign w:val="center"/>
          </w:tcPr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26EAE" w:rsidRPr="004F4330" w:rsidTr="00401193">
        <w:trPr>
          <w:trHeight w:val="975"/>
          <w:jc w:val="center"/>
        </w:trPr>
        <w:tc>
          <w:tcPr>
            <w:tcW w:w="1478" w:type="dxa"/>
            <w:shd w:val="pct10" w:color="auto" w:fill="FFFFFF"/>
            <w:vAlign w:val="center"/>
          </w:tcPr>
          <w:p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6954" w:type="dxa"/>
            <w:vAlign w:val="center"/>
          </w:tcPr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26EAE" w:rsidRDefault="00026EAE" w:rsidP="0045790B">
      <w:pPr>
        <w:pStyle w:val="Footer"/>
        <w:rPr>
          <w:szCs w:val="24"/>
        </w:rPr>
      </w:pPr>
    </w:p>
    <w:p w:rsidR="00026EAE" w:rsidRDefault="00026EAE" w:rsidP="0045790B">
      <w:pPr>
        <w:pStyle w:val="Footer"/>
        <w:rPr>
          <w:szCs w:val="24"/>
        </w:rPr>
      </w:pPr>
    </w:p>
    <w:p w:rsidR="0045790B" w:rsidRPr="0010379A" w:rsidRDefault="0045790B" w:rsidP="00B61B19">
      <w:pPr>
        <w:pStyle w:val="Footer"/>
        <w:tabs>
          <w:tab w:val="clear" w:pos="8306"/>
          <w:tab w:val="right" w:pos="567"/>
        </w:tabs>
        <w:ind w:left="567" w:hanging="567"/>
        <w:rPr>
          <w:sz w:val="20"/>
        </w:rPr>
      </w:pPr>
      <w:r w:rsidRPr="0010379A">
        <w:rPr>
          <w:sz w:val="20"/>
        </w:rPr>
        <w:t>NB</w:t>
      </w:r>
      <w:r w:rsidR="00B61B19" w:rsidRPr="0010379A">
        <w:rPr>
          <w:sz w:val="20"/>
        </w:rPr>
        <w:t>:</w:t>
      </w:r>
      <w:r w:rsidR="00B44B5C">
        <w:rPr>
          <w:sz w:val="20"/>
        </w:rPr>
        <w:t xml:space="preserve"> </w:t>
      </w:r>
      <w:r w:rsidR="00B61B19" w:rsidRPr="0010379A">
        <w:rPr>
          <w:sz w:val="20"/>
        </w:rPr>
        <w:tab/>
      </w:r>
      <w:r w:rsidRPr="0010379A">
        <w:rPr>
          <w:sz w:val="20"/>
        </w:rPr>
        <w:t xml:space="preserve">Only tenders with average scores of at least </w:t>
      </w:r>
      <w:r w:rsidR="00105D08">
        <w:rPr>
          <w:sz w:val="20"/>
        </w:rPr>
        <w:t>75</w:t>
      </w:r>
      <w:r w:rsidR="00105D08" w:rsidRPr="0010379A">
        <w:rPr>
          <w:sz w:val="20"/>
        </w:rPr>
        <w:t xml:space="preserve"> </w:t>
      </w:r>
      <w:r w:rsidRPr="0010379A">
        <w:rPr>
          <w:sz w:val="20"/>
        </w:rPr>
        <w:t>points qualify for the financial evaluation</w:t>
      </w:r>
      <w:r w:rsidR="00B61B19" w:rsidRPr="0010379A">
        <w:rPr>
          <w:sz w:val="20"/>
        </w:rPr>
        <w:t>.</w:t>
      </w:r>
    </w:p>
    <w:p w:rsidR="0045790B" w:rsidRDefault="0045790B">
      <w:pPr>
        <w:rPr>
          <w:sz w:val="22"/>
          <w:szCs w:val="22"/>
        </w:rPr>
      </w:pPr>
    </w:p>
    <w:p w:rsidR="0045790B" w:rsidRPr="00430315" w:rsidRDefault="0045790B">
      <w:pPr>
        <w:rPr>
          <w:sz w:val="22"/>
          <w:szCs w:val="22"/>
        </w:rPr>
      </w:pPr>
    </w:p>
    <w:p w:rsidR="008F142F" w:rsidRDefault="00DA4734" w:rsidP="00B61B19">
      <w:pPr>
        <w:pStyle w:val="Header"/>
        <w:pageBreakBefore/>
        <w:shd w:val="clear" w:color="auto" w:fill="FFFF00"/>
        <w:spacing w:after="120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lastRenderedPageBreak/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B44B5C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B44B5C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B44B5C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B44B5C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</w:t>
      </w:r>
      <w:r w:rsidR="00BE57B3">
        <w:rPr>
          <w:sz w:val="22"/>
          <w:szCs w:val="22"/>
        </w:rPr>
        <w:t xml:space="preserve"> </w:t>
      </w:r>
      <w:r w:rsidR="00222B6A">
        <w:rPr>
          <w:sz w:val="22"/>
          <w:szCs w:val="22"/>
        </w:rPr>
        <w:t>members</w:t>
      </w:r>
      <w:r w:rsidRPr="00430315">
        <w:rPr>
          <w:sz w:val="22"/>
          <w:szCs w:val="22"/>
        </w:rPr>
        <w:t xml:space="preserve"> and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>imetable of activities</w:t>
      </w:r>
      <w:r w:rsidR="00B53DB2" w:rsidRPr="00B53DB2">
        <w:rPr>
          <w:sz w:val="22"/>
          <w:szCs w:val="22"/>
        </w:rPr>
        <w:t xml:space="preserve"> </w:t>
      </w:r>
      <w:r w:rsidR="00B53DB2">
        <w:rPr>
          <w:sz w:val="22"/>
          <w:szCs w:val="22"/>
        </w:rPr>
        <w:t>including the number of expert days proposed</w:t>
      </w:r>
      <w:r w:rsidRPr="00430315">
        <w:rPr>
          <w:sz w:val="22"/>
          <w:szCs w:val="22"/>
        </w:rPr>
        <w:t>) and each of the key expert</w:t>
      </w:r>
      <w:r w:rsidR="003F3352">
        <w:rPr>
          <w:sz w:val="22"/>
          <w:szCs w:val="22"/>
        </w:rPr>
        <w:t>s (i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>e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q</w:t>
      </w:r>
      <w:r w:rsidR="003F3352">
        <w:rPr>
          <w:sz w:val="22"/>
          <w:szCs w:val="22"/>
        </w:rPr>
        <w:t>ualifications and skill</w:t>
      </w:r>
      <w:r w:rsidRPr="00430315">
        <w:rPr>
          <w:sz w:val="22"/>
          <w:szCs w:val="22"/>
        </w:rPr>
        <w:t xml:space="preserve">s, </w:t>
      </w:r>
      <w:r w:rsidR="00B44B5C">
        <w:rPr>
          <w:sz w:val="22"/>
          <w:szCs w:val="22"/>
        </w:rPr>
        <w:t>g</w:t>
      </w:r>
      <w:r w:rsidRPr="00430315">
        <w:rPr>
          <w:sz w:val="22"/>
          <w:szCs w:val="22"/>
        </w:rPr>
        <w:t xml:space="preserve">eneral professional experience </w:t>
      </w:r>
      <w:r w:rsidR="00B44B5C">
        <w:rPr>
          <w:sz w:val="22"/>
          <w:szCs w:val="22"/>
        </w:rPr>
        <w:t>and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 xml:space="preserve">pecific professional experience) </w:t>
      </w:r>
      <w:r w:rsidR="00445790" w:rsidRPr="00430315">
        <w:rPr>
          <w:sz w:val="22"/>
          <w:szCs w:val="22"/>
        </w:rPr>
        <w:t>may be modified as required and the division of scores must be adapted according to the requirements of the specific tender procedure.</w:t>
      </w:r>
    </w:p>
    <w:p w:rsidR="00DA4734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number of key experts must correspond to the number of key expert profiles identified in the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erms of reference and </w:t>
      </w:r>
      <w:r w:rsidR="000B17D4">
        <w:rPr>
          <w:sz w:val="22"/>
          <w:szCs w:val="22"/>
        </w:rPr>
        <w:t>must</w:t>
      </w:r>
      <w:r w:rsidRPr="00430315">
        <w:rPr>
          <w:sz w:val="22"/>
          <w:szCs w:val="22"/>
        </w:rPr>
        <w:t xml:space="preserve"> not exceed </w:t>
      </w:r>
      <w:r w:rsidR="001D4288">
        <w:rPr>
          <w:sz w:val="22"/>
          <w:szCs w:val="22"/>
        </w:rPr>
        <w:t>4</w:t>
      </w:r>
      <w:r w:rsidRPr="00430315">
        <w:rPr>
          <w:sz w:val="22"/>
          <w:szCs w:val="22"/>
        </w:rPr>
        <w:t xml:space="preserve"> key experts. </w:t>
      </w:r>
      <w:r w:rsidR="00222B6A">
        <w:rPr>
          <w:sz w:val="22"/>
          <w:szCs w:val="22"/>
        </w:rPr>
        <w:t xml:space="preserve">The total scores of the key experts shall </w:t>
      </w:r>
      <w:r w:rsidR="00105D08">
        <w:rPr>
          <w:sz w:val="22"/>
          <w:szCs w:val="22"/>
        </w:rPr>
        <w:t>be comprised between</w:t>
      </w:r>
      <w:r w:rsidR="00222B6A">
        <w:rPr>
          <w:sz w:val="22"/>
          <w:szCs w:val="22"/>
        </w:rPr>
        <w:t xml:space="preserve"> 40%</w:t>
      </w:r>
      <w:r w:rsidR="00105D08">
        <w:rPr>
          <w:sz w:val="22"/>
          <w:szCs w:val="22"/>
        </w:rPr>
        <w:t xml:space="preserve"> and 60%</w:t>
      </w:r>
      <w:r w:rsidR="00222B6A">
        <w:rPr>
          <w:sz w:val="22"/>
          <w:szCs w:val="22"/>
        </w:rPr>
        <w:t xml:space="preserve">. </w:t>
      </w:r>
    </w:p>
    <w:p w:rsidR="00C116DE" w:rsidRDefault="00C116DE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overall total score should remain 100. </w:t>
      </w:r>
    </w:p>
    <w:p w:rsidR="00E90600" w:rsidRPr="00430315" w:rsidRDefault="00E90600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 strengths and weaknesses in this evaluation grid must reflect th</w:t>
      </w:r>
      <w:r w:rsidR="00815915">
        <w:rPr>
          <w:sz w:val="22"/>
          <w:szCs w:val="22"/>
        </w:rPr>
        <w:t>ose</w:t>
      </w:r>
      <w:r>
        <w:rPr>
          <w:sz w:val="22"/>
          <w:szCs w:val="22"/>
        </w:rPr>
        <w:t xml:space="preserve"> commonly agreed by the </w:t>
      </w:r>
      <w:r w:rsidR="00B44B5C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B44B5C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B44B5C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 w:rsidR="001B65D1">
        <w:rPr>
          <w:sz w:val="22"/>
          <w:szCs w:val="22"/>
        </w:rPr>
        <w:t>evaluation grid</w:t>
      </w:r>
      <w:r w:rsidR="0045790B">
        <w:rPr>
          <w:sz w:val="22"/>
          <w:szCs w:val="22"/>
        </w:rPr>
        <w:t>, which</w:t>
      </w:r>
      <w:r w:rsidR="001B65D1">
        <w:rPr>
          <w:sz w:val="22"/>
          <w:szCs w:val="22"/>
        </w:rPr>
        <w:t xml:space="preserve"> includes</w:t>
      </w:r>
      <w:r w:rsidRPr="00430315">
        <w:rPr>
          <w:sz w:val="22"/>
          <w:szCs w:val="22"/>
        </w:rPr>
        <w:t xml:space="preserve"> maximum scores</w:t>
      </w:r>
      <w:r w:rsidR="0045790B">
        <w:rPr>
          <w:sz w:val="22"/>
          <w:szCs w:val="22"/>
        </w:rPr>
        <w:t>. Those maximum scores</w:t>
      </w:r>
      <w:r w:rsidR="006A3238"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DA4734" w:rsidRPr="00983FD8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</w:pPr>
      <w:r w:rsidRPr="00430315">
        <w:rPr>
          <w:b/>
          <w:sz w:val="22"/>
          <w:szCs w:val="22"/>
        </w:rPr>
        <w:t>Please delete the highlighted text.</w:t>
      </w:r>
    </w:p>
    <w:sectPr w:rsidR="00DA4734" w:rsidRPr="00983FD8" w:rsidSect="00B0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06" w:right="1797" w:bottom="1134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31" w:rsidRDefault="00EB3631">
      <w:r>
        <w:separator/>
      </w:r>
    </w:p>
  </w:endnote>
  <w:endnote w:type="continuationSeparator" w:id="0">
    <w:p w:rsidR="00EB3631" w:rsidRDefault="00EB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8" w:rsidRDefault="00F1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Default="008D1105" w:rsidP="00531F73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466CCA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466CCA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AE6AD4">
      <w:rPr>
        <w:rStyle w:val="PageNumber"/>
        <w:noProof/>
        <w:sz w:val="18"/>
        <w:szCs w:val="18"/>
      </w:rPr>
      <w:t>b8m1_evalgrid_fees_en.doc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8" w:rsidRDefault="00F1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31" w:rsidRDefault="00EB3631">
      <w:r>
        <w:separator/>
      </w:r>
    </w:p>
  </w:footnote>
  <w:footnote w:type="continuationSeparator" w:id="0">
    <w:p w:rsidR="00EB3631" w:rsidRDefault="00EB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8" w:rsidRDefault="00F1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8" w:rsidRDefault="00F1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BD0"/>
    <w:multiLevelType w:val="hybridMultilevel"/>
    <w:tmpl w:val="85325C74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58E9"/>
    <w:multiLevelType w:val="hybridMultilevel"/>
    <w:tmpl w:val="5D54E26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F404F"/>
    <w:rsid w:val="000127A7"/>
    <w:rsid w:val="00023F45"/>
    <w:rsid w:val="00026EAE"/>
    <w:rsid w:val="000404D6"/>
    <w:rsid w:val="00094838"/>
    <w:rsid w:val="000B17D4"/>
    <w:rsid w:val="000F363A"/>
    <w:rsid w:val="001005A2"/>
    <w:rsid w:val="0010379A"/>
    <w:rsid w:val="00105D08"/>
    <w:rsid w:val="0010663B"/>
    <w:rsid w:val="00134D0C"/>
    <w:rsid w:val="001753C0"/>
    <w:rsid w:val="0019477C"/>
    <w:rsid w:val="0019590B"/>
    <w:rsid w:val="001B5F6E"/>
    <w:rsid w:val="001B65D1"/>
    <w:rsid w:val="001D4288"/>
    <w:rsid w:val="001E2683"/>
    <w:rsid w:val="00206093"/>
    <w:rsid w:val="00222B6A"/>
    <w:rsid w:val="00287B0E"/>
    <w:rsid w:val="002D4B39"/>
    <w:rsid w:val="002D5433"/>
    <w:rsid w:val="002E7133"/>
    <w:rsid w:val="002F3189"/>
    <w:rsid w:val="00300592"/>
    <w:rsid w:val="00324A1E"/>
    <w:rsid w:val="003F3352"/>
    <w:rsid w:val="00401193"/>
    <w:rsid w:val="00413BA9"/>
    <w:rsid w:val="00430315"/>
    <w:rsid w:val="00445790"/>
    <w:rsid w:val="0045790B"/>
    <w:rsid w:val="004642BF"/>
    <w:rsid w:val="004660C7"/>
    <w:rsid w:val="00466CCA"/>
    <w:rsid w:val="00467D6B"/>
    <w:rsid w:val="004D5AD2"/>
    <w:rsid w:val="004E1C44"/>
    <w:rsid w:val="004E4C9F"/>
    <w:rsid w:val="00503EA2"/>
    <w:rsid w:val="00531F73"/>
    <w:rsid w:val="00544970"/>
    <w:rsid w:val="005742DA"/>
    <w:rsid w:val="00576F4A"/>
    <w:rsid w:val="00582938"/>
    <w:rsid w:val="005B41E3"/>
    <w:rsid w:val="005C604B"/>
    <w:rsid w:val="006031F6"/>
    <w:rsid w:val="00620332"/>
    <w:rsid w:val="006414F2"/>
    <w:rsid w:val="0069358E"/>
    <w:rsid w:val="006A3238"/>
    <w:rsid w:val="006E56F4"/>
    <w:rsid w:val="0071015F"/>
    <w:rsid w:val="00724A05"/>
    <w:rsid w:val="00725E8A"/>
    <w:rsid w:val="00754279"/>
    <w:rsid w:val="007776B8"/>
    <w:rsid w:val="007B2B06"/>
    <w:rsid w:val="007B7D83"/>
    <w:rsid w:val="007C2859"/>
    <w:rsid w:val="007E4B25"/>
    <w:rsid w:val="007F6EC6"/>
    <w:rsid w:val="0080690C"/>
    <w:rsid w:val="00807E6C"/>
    <w:rsid w:val="00815915"/>
    <w:rsid w:val="00820895"/>
    <w:rsid w:val="0082289A"/>
    <w:rsid w:val="00825ED8"/>
    <w:rsid w:val="008342A5"/>
    <w:rsid w:val="00871CD9"/>
    <w:rsid w:val="00871D2D"/>
    <w:rsid w:val="00885C78"/>
    <w:rsid w:val="00894EA1"/>
    <w:rsid w:val="00896C09"/>
    <w:rsid w:val="008A1D64"/>
    <w:rsid w:val="008B0F0D"/>
    <w:rsid w:val="008D07A3"/>
    <w:rsid w:val="008D1105"/>
    <w:rsid w:val="008F142F"/>
    <w:rsid w:val="009334E9"/>
    <w:rsid w:val="00940341"/>
    <w:rsid w:val="00941599"/>
    <w:rsid w:val="00973A57"/>
    <w:rsid w:val="00983FD8"/>
    <w:rsid w:val="00987DD0"/>
    <w:rsid w:val="009B4B43"/>
    <w:rsid w:val="009C12DF"/>
    <w:rsid w:val="009E5910"/>
    <w:rsid w:val="009F3A06"/>
    <w:rsid w:val="00A32FA3"/>
    <w:rsid w:val="00A64C1A"/>
    <w:rsid w:val="00A70AF0"/>
    <w:rsid w:val="00A7460C"/>
    <w:rsid w:val="00A80263"/>
    <w:rsid w:val="00A91511"/>
    <w:rsid w:val="00AE6AD4"/>
    <w:rsid w:val="00B00F69"/>
    <w:rsid w:val="00B2145A"/>
    <w:rsid w:val="00B22296"/>
    <w:rsid w:val="00B32B40"/>
    <w:rsid w:val="00B4029E"/>
    <w:rsid w:val="00B44B5C"/>
    <w:rsid w:val="00B53DB2"/>
    <w:rsid w:val="00B604AD"/>
    <w:rsid w:val="00B61B19"/>
    <w:rsid w:val="00B84360"/>
    <w:rsid w:val="00BB6A46"/>
    <w:rsid w:val="00BE57B3"/>
    <w:rsid w:val="00BF42CE"/>
    <w:rsid w:val="00C116DE"/>
    <w:rsid w:val="00C26F98"/>
    <w:rsid w:val="00C474D4"/>
    <w:rsid w:val="00C74313"/>
    <w:rsid w:val="00C906F1"/>
    <w:rsid w:val="00CC1E60"/>
    <w:rsid w:val="00CF12E4"/>
    <w:rsid w:val="00D13EBC"/>
    <w:rsid w:val="00D633B5"/>
    <w:rsid w:val="00D87E1E"/>
    <w:rsid w:val="00DA4734"/>
    <w:rsid w:val="00DE32C5"/>
    <w:rsid w:val="00DF404F"/>
    <w:rsid w:val="00E008B3"/>
    <w:rsid w:val="00E07798"/>
    <w:rsid w:val="00E57F80"/>
    <w:rsid w:val="00E90600"/>
    <w:rsid w:val="00E96923"/>
    <w:rsid w:val="00EB3631"/>
    <w:rsid w:val="00F10298"/>
    <w:rsid w:val="00F52416"/>
    <w:rsid w:val="00F64A65"/>
    <w:rsid w:val="00F763B3"/>
    <w:rsid w:val="00F81642"/>
    <w:rsid w:val="00FB02E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C9434-50B5-46B0-AAED-3C8C070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E906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Windows User</cp:lastModifiedBy>
  <cp:revision>2</cp:revision>
  <cp:lastPrinted>2012-09-26T13:47:00Z</cp:lastPrinted>
  <dcterms:created xsi:type="dcterms:W3CDTF">2020-10-28T10:26:00Z</dcterms:created>
  <dcterms:modified xsi:type="dcterms:W3CDTF">2020-10-28T10:26:00Z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