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8" w:rsidRDefault="00B5336E" w:rsidP="00FF1D78">
      <w:pPr>
        <w:pStyle w:val="NoSpacing"/>
        <w:rPr>
          <w:rFonts w:ascii="Times New Roman" w:hAnsi="Times New Roman"/>
          <w:b/>
          <w:sz w:val="24"/>
        </w:rPr>
      </w:pPr>
      <w:r w:rsidRPr="00B13DD6">
        <w:rPr>
          <w:noProof/>
        </w:rPr>
        <w:drawing>
          <wp:anchor distT="0" distB="0" distL="114300" distR="114300" simplePos="0" relativeHeight="251661824" behindDoc="0" locked="0" layoutInCell="1" allowOverlap="1" wp14:anchorId="415FAD1C" wp14:editId="0E80DE6C">
            <wp:simplePos x="0" y="0"/>
            <wp:positionH relativeFrom="margin">
              <wp:posOffset>4695825</wp:posOffset>
            </wp:positionH>
            <wp:positionV relativeFrom="paragraph">
              <wp:posOffset>-407035</wp:posOffset>
            </wp:positionV>
            <wp:extent cx="2049145" cy="676275"/>
            <wp:effectExtent l="0" t="0" r="8255" b="9525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6" t="28836" r="20332" b="30310"/>
                    <a:stretch/>
                  </pic:blipFill>
                  <pic:spPr>
                    <a:xfrm>
                      <a:off x="0" y="0"/>
                      <a:ext cx="204914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F1D78" w:rsidRDefault="00717EAB" w:rsidP="00FF1D78">
      <w:pPr>
        <w:pStyle w:val="NoSpacing"/>
        <w:rPr>
          <w:rFonts w:ascii="Times New Roman" w:hAnsi="Times New Roman"/>
          <w:b/>
          <w:sz w:val="24"/>
        </w:rPr>
      </w:pPr>
      <w:r w:rsidRPr="006F0488"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3DBA6284" wp14:editId="32622CCF">
            <wp:simplePos x="0" y="0"/>
            <wp:positionH relativeFrom="column">
              <wp:posOffset>-699715</wp:posOffset>
            </wp:positionH>
            <wp:positionV relativeFrom="paragraph">
              <wp:posOffset>-151102</wp:posOffset>
            </wp:positionV>
            <wp:extent cx="943610" cy="10013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78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7728" behindDoc="0" locked="0" layoutInCell="1" allowOverlap="1" wp14:anchorId="3392888B" wp14:editId="178D0063">
            <wp:simplePos x="0" y="0"/>
            <wp:positionH relativeFrom="column">
              <wp:posOffset>-695325</wp:posOffset>
            </wp:positionH>
            <wp:positionV relativeFrom="paragraph">
              <wp:posOffset>-149860</wp:posOffset>
            </wp:positionV>
            <wp:extent cx="7553325" cy="1095375"/>
            <wp:effectExtent l="19050" t="0" r="9525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78" w:rsidRDefault="00FF1D78" w:rsidP="00FF1D78">
      <w:pPr>
        <w:pStyle w:val="NoSpacing"/>
        <w:rPr>
          <w:rFonts w:ascii="Times New Roman" w:hAnsi="Times New Roman"/>
          <w:b/>
          <w:sz w:val="24"/>
        </w:rPr>
      </w:pPr>
    </w:p>
    <w:p w:rsidR="00FF1D78" w:rsidRDefault="00FF1D78" w:rsidP="00FF1D78">
      <w:pPr>
        <w:pStyle w:val="NoSpacing"/>
        <w:rPr>
          <w:rFonts w:ascii="Times New Roman" w:hAnsi="Times New Roman"/>
          <w:b/>
          <w:sz w:val="24"/>
        </w:rPr>
      </w:pPr>
    </w:p>
    <w:p w:rsidR="00FF1D78" w:rsidRDefault="00FF1D78" w:rsidP="00FF1D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F1D78" w:rsidRPr="00501BEB" w:rsidRDefault="00FF1D78" w:rsidP="00FF1D7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01BEB">
        <w:rPr>
          <w:rFonts w:ascii="Times New Roman" w:hAnsi="Times New Roman"/>
          <w:b/>
          <w:sz w:val="20"/>
          <w:szCs w:val="20"/>
        </w:rPr>
        <w:t>BASHKIA BERAT</w:t>
      </w:r>
    </w:p>
    <w:p w:rsidR="00FF1D78" w:rsidRDefault="00FF1D78" w:rsidP="00FF1D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5336E" w:rsidRDefault="00B5336E" w:rsidP="00B533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17D5C">
        <w:rPr>
          <w:rFonts w:ascii="Times New Roman" w:hAnsi="Times New Roman"/>
          <w:b/>
          <w:sz w:val="24"/>
          <w:szCs w:val="24"/>
        </w:rPr>
        <w:t>SHOQËRIA RAJONALE UJËSJELLËS KANALIZIME BERAT SH.A</w:t>
      </w:r>
    </w:p>
    <w:p w:rsidR="00FF1D78" w:rsidRDefault="00FF1D78" w:rsidP="00FF1D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F1D78" w:rsidRDefault="00FF1D78" w:rsidP="00FF1D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F1D78" w:rsidRDefault="00FF1D78" w:rsidP="00FF1D78">
      <w:pPr>
        <w:pStyle w:val="Heading1"/>
        <w:rPr>
          <w:rFonts w:ascii="Times New Roman" w:hAnsi="Times New Roman"/>
          <w:b w:val="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R E L A C I O N</w:t>
      </w:r>
    </w:p>
    <w:p w:rsidR="00B5336E" w:rsidRPr="00B5336E" w:rsidRDefault="00B5336E" w:rsidP="00B5336E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“</w:t>
      </w:r>
      <w:r w:rsidRPr="00B5336E">
        <w:rPr>
          <w:rFonts w:ascii="Times New Roman" w:hAnsi="Times New Roman"/>
          <w:b/>
          <w:sz w:val="24"/>
          <w:szCs w:val="24"/>
          <w:lang w:val="sq-AL"/>
        </w:rPr>
        <w:t>PËR NDRYSHIMIN E NIVELIT TË TARIFAVE PËR SHËRBIMIN E FURNIZIMIT ME UJË TË PIJSHËM DHE LARGIMIN (KANALIZIME)  E UJËRAVE TË NDOTURA  SI DHE TARIFËS FIKSE TË SHËRBIMIT NË NJËSINË BERAT</w:t>
      </w:r>
      <w:r>
        <w:rPr>
          <w:rFonts w:ascii="Times New Roman" w:hAnsi="Times New Roman"/>
          <w:b/>
          <w:sz w:val="24"/>
          <w:szCs w:val="24"/>
          <w:lang w:val="sq-AL"/>
        </w:rPr>
        <w:t>”</w:t>
      </w:r>
      <w:r w:rsidRPr="00B5336E">
        <w:rPr>
          <w:rFonts w:ascii="Times New Roman" w:hAnsi="Times New Roman"/>
          <w:b/>
          <w:sz w:val="24"/>
          <w:szCs w:val="24"/>
          <w:lang w:val="sq-AL"/>
        </w:rPr>
        <w:t>.</w:t>
      </w:r>
    </w:p>
    <w:p w:rsidR="00FF1D78" w:rsidRDefault="00FF1D78" w:rsidP="00FF1D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</w:pPr>
    </w:p>
    <w:p w:rsidR="00FF1D78" w:rsidRDefault="00FF1D78" w:rsidP="00717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FI"/>
        </w:rPr>
      </w:pPr>
      <w:r>
        <w:rPr>
          <w:rFonts w:ascii="Times New Roman" w:hAnsi="Times New Roman" w:cs="Times New Roman"/>
          <w:b/>
          <w:sz w:val="24"/>
          <w:szCs w:val="24"/>
          <w:lang w:val="sv-FI"/>
        </w:rPr>
        <w:t>Të</w:t>
      </w:r>
      <w:r w:rsidR="00B5336E">
        <w:rPr>
          <w:rFonts w:ascii="Times New Roman" w:hAnsi="Times New Roman" w:cs="Times New Roman"/>
          <w:b/>
          <w:sz w:val="24"/>
          <w:szCs w:val="24"/>
          <w:lang w:val="sv-FI"/>
        </w:rPr>
        <w:t xml:space="preserve"> nderuar Këshilltarë</w:t>
      </w:r>
      <w:r>
        <w:rPr>
          <w:rFonts w:ascii="Times New Roman" w:hAnsi="Times New Roman" w:cs="Times New Roman"/>
          <w:b/>
          <w:sz w:val="24"/>
          <w:szCs w:val="24"/>
          <w:lang w:val="sv-FI"/>
        </w:rPr>
        <w:t xml:space="preserve"> !</w:t>
      </w:r>
    </w:p>
    <w:p w:rsidR="00717EAB" w:rsidRPr="00717EAB" w:rsidRDefault="00717EAB" w:rsidP="00717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FI"/>
        </w:rPr>
      </w:pPr>
    </w:p>
    <w:p w:rsidR="00B5336E" w:rsidRDefault="00B5336E" w:rsidP="00B5336E">
      <w:p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11">
        <w:rPr>
          <w:rFonts w:ascii="Times New Roman" w:hAnsi="Times New Roman" w:cs="Times New Roman"/>
          <w:sz w:val="24"/>
          <w:szCs w:val="24"/>
        </w:rPr>
        <w:t>Mbësht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5B4B11">
        <w:rPr>
          <w:rFonts w:ascii="Times New Roman" w:hAnsi="Times New Roman" w:cs="Times New Roman"/>
          <w:sz w:val="24"/>
          <w:szCs w:val="24"/>
        </w:rPr>
        <w:t xml:space="preserve">ur </w:t>
      </w:r>
      <w:r w:rsidRPr="005B7D40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>Ligjin n</w:t>
      </w:r>
      <w:r w:rsidRPr="005B7D40">
        <w:rPr>
          <w:rFonts w:ascii="Times New Roman" w:hAnsi="Times New Roman" w:cs="Times New Roman"/>
          <w:sz w:val="24"/>
          <w:szCs w:val="24"/>
          <w:lang w:val="sq-AL"/>
        </w:rPr>
        <w:t xml:space="preserve">r. 9901, datë 14.04.2008, </w:t>
      </w:r>
      <w:r>
        <w:rPr>
          <w:rFonts w:ascii="Times New Roman" w:hAnsi="Times New Roman" w:cs="Times New Roman"/>
          <w:sz w:val="24"/>
          <w:szCs w:val="24"/>
          <w:lang w:val="sq-AL"/>
        </w:rPr>
        <w:t>"</w:t>
      </w:r>
      <w:r w:rsidRPr="005B7D40">
        <w:rPr>
          <w:rFonts w:ascii="Times New Roman" w:hAnsi="Times New Roman" w:cs="Times New Roman"/>
          <w:sz w:val="24"/>
          <w:szCs w:val="24"/>
          <w:lang w:val="sq-AL"/>
        </w:rPr>
        <w:t>Për shoqëritë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tregtare", në </w:t>
      </w:r>
      <w:r w:rsidRPr="005B7D40">
        <w:rPr>
          <w:rFonts w:ascii="Times New Roman" w:hAnsi="Times New Roman" w:cs="Times New Roman"/>
          <w:sz w:val="24"/>
          <w:szCs w:val="24"/>
          <w:lang w:val="sq-AL"/>
        </w:rPr>
        <w:t>VKM</w:t>
      </w:r>
      <w:r w:rsidRPr="005B7D40">
        <w:rPr>
          <w:rFonts w:ascii="Times New Roman" w:hAnsi="Times New Roman" w:cs="Times New Roman"/>
          <w:sz w:val="24"/>
          <w:szCs w:val="24"/>
          <w:lang w:val="pt-BR"/>
        </w:rPr>
        <w:t xml:space="preserve"> nr. 302, datë 11.05.2022 “Politikat Kombëtare për riorganizimin e sektorit të furnizimit me ujë dhe të largimit, trajtimit dhe pëp</w:t>
      </w:r>
      <w:r>
        <w:rPr>
          <w:rFonts w:ascii="Times New Roman" w:hAnsi="Times New Roman" w:cs="Times New Roman"/>
          <w:sz w:val="24"/>
          <w:szCs w:val="24"/>
          <w:lang w:val="pt-BR"/>
        </w:rPr>
        <w:t>unimit të ujërave të ndotura”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E1A">
        <w:rPr>
          <w:rFonts w:ascii="Times New Roman" w:hAnsi="Times New Roman" w:cs="Times New Roman"/>
          <w:sz w:val="24"/>
          <w:szCs w:val="24"/>
        </w:rPr>
        <w:t>në Ligjin nr. 8102, datë 28.03.1996 m</w:t>
      </w:r>
      <w:r>
        <w:rPr>
          <w:rFonts w:ascii="Times New Roman" w:hAnsi="Times New Roman" w:cs="Times New Roman"/>
          <w:sz w:val="24"/>
          <w:szCs w:val="24"/>
        </w:rPr>
        <w:t>e ndryshimet përkatëse po ju sjellim në dijeni që n</w:t>
      </w:r>
      <w:r w:rsidRPr="00C94E1A">
        <w:rPr>
          <w:rFonts w:ascii="Times New Roman" w:hAnsi="Times New Roman" w:cs="Times New Roman"/>
          <w:sz w:val="24"/>
          <w:szCs w:val="24"/>
        </w:rPr>
        <w:t xml:space="preserve">ë ushtrimin e funksioneve dhe kompetencave sipas këtij ligji, Enti Rregullator do të veprojë në mënyrë të tillë që: (i) çmimet, tarifat dhe kushtet e tjera të shërbimit; (ii) cilësinë, eficencën, vazhdueshmërinë dhe garancinë e shërbimit. Cdo tarifë që do të aplikohet ne ujësjellsa e kanalizime </w:t>
      </w:r>
      <w:r w:rsidRPr="00787938">
        <w:rPr>
          <w:rFonts w:ascii="Times New Roman" w:hAnsi="Times New Roman" w:cs="Times New Roman"/>
          <w:sz w:val="24"/>
          <w:szCs w:val="24"/>
        </w:rPr>
        <w:t>për Njësinë Berat</w:t>
      </w:r>
      <w:r w:rsidRPr="00C94E1A">
        <w:rPr>
          <w:rFonts w:ascii="Times New Roman" w:hAnsi="Times New Roman" w:cs="Times New Roman"/>
          <w:sz w:val="24"/>
          <w:szCs w:val="24"/>
        </w:rPr>
        <w:t xml:space="preserve"> do të miratohen nga ERRU. </w:t>
      </w:r>
    </w:p>
    <w:p w:rsidR="00B5336E" w:rsidRPr="00C94E1A" w:rsidRDefault="00B5336E" w:rsidP="00B5336E">
      <w:p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1A">
        <w:rPr>
          <w:rFonts w:ascii="Times New Roman" w:hAnsi="Times New Roman" w:cs="Times New Roman"/>
          <w:sz w:val="24"/>
          <w:szCs w:val="24"/>
        </w:rPr>
        <w:t>Në bazë të metedologjisë për vendosjen tarifave të reja  përvec dokumentave të tjera të plotësuara nga SHRUK Berat kërkohet nga ERRU dhe mendimi i këshillave  bashkiak të bashkive përkatëse.</w:t>
      </w:r>
    </w:p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Shoqëria jonë,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Shoqëria Rajonale Ujësjellës Kanalizime Berat Sh.A., </w:t>
      </w:r>
      <w:r w:rsidRPr="00653FB2">
        <w:rPr>
          <w:rFonts w:ascii="Times New Roman" w:hAnsi="Times New Roman" w:cs="Times New Roman"/>
          <w:sz w:val="24"/>
          <w:szCs w:val="24"/>
          <w:lang w:val="sq-AL"/>
        </w:rPr>
        <w:t xml:space="preserve">ka vlerësuar situatën financiare dhe ka parë domosdoshmërinë e nevojës për të rishikuar </w:t>
      </w:r>
      <w:r w:rsidRPr="0008615E">
        <w:rPr>
          <w:rFonts w:ascii="Times New Roman" w:hAnsi="Times New Roman" w:cs="Times New Roman"/>
          <w:sz w:val="24"/>
          <w:szCs w:val="24"/>
          <w:lang w:val="sq-AL"/>
        </w:rPr>
        <w:t xml:space="preserve">dhe unifikuar </w:t>
      </w:r>
      <w:r w:rsidRPr="00653FB2">
        <w:rPr>
          <w:rFonts w:ascii="Times New Roman" w:hAnsi="Times New Roman" w:cs="Times New Roman"/>
          <w:sz w:val="24"/>
          <w:szCs w:val="24"/>
          <w:lang w:val="sq-AL"/>
        </w:rPr>
        <w:t xml:space="preserve">nivelin e tarifave për shërbimet që ofrojmë. </w:t>
      </w:r>
    </w:p>
    <w:p w:rsidR="00B5336E" w:rsidRP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3FB2">
        <w:rPr>
          <w:rFonts w:ascii="Times New Roman" w:hAnsi="Times New Roman" w:cs="Times New Roman"/>
          <w:sz w:val="24"/>
          <w:szCs w:val="24"/>
          <w:lang w:val="sq-AL"/>
        </w:rPr>
        <w:t xml:space="preserve">Në këtë kuadër kërkojmë nga ana juaj marrjen në shqyrtim dhe miratimin e nivelit të ri të tarifave për ofrimin e shërbimit të ujit të pijshëm dhe </w:t>
      </w:r>
      <w:r w:rsidRPr="0008615E">
        <w:rPr>
          <w:rFonts w:ascii="Times New Roman" w:hAnsi="Times New Roman" w:cs="Times New Roman"/>
          <w:sz w:val="24"/>
          <w:szCs w:val="24"/>
          <w:lang w:val="sq-AL"/>
        </w:rPr>
        <w:t>largimin (kanalizime)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8615E">
        <w:rPr>
          <w:rFonts w:ascii="Times New Roman" w:hAnsi="Times New Roman" w:cs="Times New Roman"/>
          <w:sz w:val="24"/>
          <w:szCs w:val="24"/>
          <w:lang w:val="sq-AL"/>
        </w:rPr>
        <w:t xml:space="preserve"> e ujërave të ndotura, sipas tabelës/tabe</w:t>
      </w:r>
      <w:r w:rsidRPr="00653FB2">
        <w:rPr>
          <w:rFonts w:ascii="Times New Roman" w:hAnsi="Times New Roman" w:cs="Times New Roman"/>
          <w:sz w:val="24"/>
          <w:szCs w:val="24"/>
          <w:lang w:val="sq-AL"/>
        </w:rPr>
        <w:t xml:space="preserve">lave bashkëlidhur. </w:t>
      </w:r>
      <w:r w:rsidRPr="00DE7B31">
        <w:rPr>
          <w:rFonts w:ascii="Times New Roman" w:hAnsi="Times New Roman" w:cs="Times New Roman"/>
          <w:sz w:val="24"/>
          <w:szCs w:val="24"/>
          <w:lang w:val="sq-AL"/>
        </w:rPr>
        <w:t xml:space="preserve">Më poshtë jepet </w:t>
      </w:r>
      <w:r>
        <w:rPr>
          <w:rFonts w:ascii="Times New Roman" w:hAnsi="Times New Roman" w:cs="Times New Roman"/>
          <w:sz w:val="24"/>
          <w:szCs w:val="24"/>
          <w:lang w:val="sq-AL"/>
        </w:rPr>
        <w:t>tabela e tarifave të  propozuara</w:t>
      </w:r>
      <w:r w:rsidRPr="00DE7B3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5336E" w:rsidRPr="004B3285" w:rsidRDefault="00B5336E" w:rsidP="00B5336E">
      <w:pPr>
        <w:spacing w:after="160" w:line="259" w:lineRule="auto"/>
        <w:rPr>
          <w:rFonts w:ascii="Times New Roman" w:hAnsi="Times New Roman"/>
          <w:b/>
          <w:sz w:val="24"/>
          <w:szCs w:val="24"/>
          <w:lang w:val="it-IT"/>
        </w:rPr>
      </w:pPr>
      <w:r w:rsidRPr="004B3285">
        <w:rPr>
          <w:rFonts w:ascii="Times New Roman" w:hAnsi="Times New Roman"/>
          <w:b/>
          <w:sz w:val="24"/>
          <w:szCs w:val="24"/>
          <w:lang w:val="it-IT"/>
        </w:rPr>
        <w:t>A-Tarife volumetrike per sherbimet :</w:t>
      </w:r>
    </w:p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1"/>
        <w:tblpPr w:leftFromText="180" w:rightFromText="180" w:vertAnchor="page" w:horzAnchor="margin" w:tblpY="2431"/>
        <w:tblW w:w="9000" w:type="dxa"/>
        <w:tblLayout w:type="fixed"/>
        <w:tblLook w:val="04A0" w:firstRow="1" w:lastRow="0" w:firstColumn="1" w:lastColumn="0" w:noHBand="0" w:noVBand="1"/>
      </w:tblPr>
      <w:tblGrid>
        <w:gridCol w:w="4362"/>
        <w:gridCol w:w="2298"/>
        <w:gridCol w:w="2340"/>
      </w:tblGrid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lastRenderedPageBreak/>
              <w:t>Për shërbimin e furnizimit me ujë të pijshëm sipase kategorive .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</w:rPr>
              <w:t>Tarifë  variable ekzistuese</w:t>
            </w:r>
          </w:p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</w:rPr>
              <w:t>Lekë / m</w:t>
            </w:r>
            <w:r w:rsidRPr="00292C6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</w:rPr>
              <w:t>Tarifë variable propozohet</w:t>
            </w:r>
          </w:p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</w:rPr>
              <w:t>Lekë / m</w:t>
            </w:r>
            <w:r w:rsidRPr="00292C6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Konsumatorë familjarë 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 xml:space="preserve">50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>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 xml:space="preserve">54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>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Konsumatoret public 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>130  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 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 xml:space="preserve">Konsumatoret privat 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>130  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>Konsumatoret familjar Njesia administrative Roshnik)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 xml:space="preserve">54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>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</w:rPr>
              <w:t>Për shërbimin e largimit të ujërave të zeza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Konsumatorë familjarë 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14    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>3</w:t>
            </w: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16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>3</w:t>
            </w:r>
          </w:p>
        </w:tc>
      </w:tr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 xml:space="preserve">Konsumatorte publik 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24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>3</w:t>
            </w: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28    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>3</w:t>
            </w:r>
          </w:p>
        </w:tc>
      </w:tr>
      <w:tr w:rsidR="00B5336E" w:rsidRPr="00292C60" w:rsidTr="008B16C5">
        <w:tc>
          <w:tcPr>
            <w:tcW w:w="4362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0">
              <w:rPr>
                <w:rFonts w:ascii="Times New Roman" w:hAnsi="Times New Roman"/>
                <w:sz w:val="24"/>
                <w:szCs w:val="24"/>
              </w:rPr>
              <w:t>Konsumatoret privat</w:t>
            </w:r>
          </w:p>
        </w:tc>
        <w:tc>
          <w:tcPr>
            <w:tcW w:w="2298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24 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>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B5336E" w:rsidRPr="00292C60" w:rsidRDefault="00B5336E" w:rsidP="008B16C5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28  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Lekë / m</w:t>
            </w:r>
            <w:r w:rsidRPr="00292C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B5336E" w:rsidRDefault="00B5336E" w:rsidP="00B5336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B5336E" w:rsidRPr="00292C60" w:rsidRDefault="00B5336E" w:rsidP="00B5336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92C60">
        <w:rPr>
          <w:rFonts w:ascii="Times New Roman" w:hAnsi="Times New Roman"/>
          <w:b/>
          <w:sz w:val="24"/>
          <w:szCs w:val="24"/>
          <w:lang w:val="it-IT"/>
        </w:rPr>
        <w:t>B-Tarifat fikse :</w:t>
      </w:r>
    </w:p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3"/>
        <w:tblpPr w:leftFromText="180" w:rightFromText="180" w:vertAnchor="text" w:horzAnchor="margin" w:tblpY="-704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B5336E" w:rsidRPr="00292C60" w:rsidTr="008B16C5">
        <w:tc>
          <w:tcPr>
            <w:tcW w:w="3010" w:type="dxa"/>
          </w:tcPr>
          <w:p w:rsidR="00B5336E" w:rsidRPr="00292C60" w:rsidRDefault="00B5336E" w:rsidP="008B1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Tarife fikse </w:t>
            </w:r>
          </w:p>
        </w:tc>
        <w:tc>
          <w:tcPr>
            <w:tcW w:w="3003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</w:rPr>
              <w:t>Tarife fikse ekzistuse</w:t>
            </w:r>
          </w:p>
        </w:tc>
        <w:tc>
          <w:tcPr>
            <w:tcW w:w="3003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C60">
              <w:rPr>
                <w:rFonts w:ascii="Times New Roman" w:hAnsi="Times New Roman"/>
                <w:b/>
                <w:sz w:val="24"/>
                <w:szCs w:val="24"/>
              </w:rPr>
              <w:t>Tarife  fikse e propozuar</w:t>
            </w:r>
          </w:p>
        </w:tc>
      </w:tr>
      <w:tr w:rsidR="00B5336E" w:rsidRPr="00292C60" w:rsidTr="008B16C5">
        <w:tc>
          <w:tcPr>
            <w:tcW w:w="3010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Konsumatore familjar</w:t>
            </w:r>
          </w:p>
        </w:tc>
        <w:tc>
          <w:tcPr>
            <w:tcW w:w="3003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100 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>Lekë /muaj/klient</w:t>
            </w:r>
          </w:p>
        </w:tc>
        <w:tc>
          <w:tcPr>
            <w:tcW w:w="3003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150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Lekë /muaj/klient</w:t>
            </w:r>
          </w:p>
        </w:tc>
      </w:tr>
      <w:tr w:rsidR="00B5336E" w:rsidRPr="00292C60" w:rsidTr="008B16C5">
        <w:tc>
          <w:tcPr>
            <w:tcW w:w="3010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Konsumatoret publik</w:t>
            </w:r>
          </w:p>
        </w:tc>
        <w:tc>
          <w:tcPr>
            <w:tcW w:w="3003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200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Lekë /muaj/klient</w:t>
            </w:r>
          </w:p>
        </w:tc>
        <w:tc>
          <w:tcPr>
            <w:tcW w:w="3003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250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Lekë /muaj/klient</w:t>
            </w:r>
          </w:p>
        </w:tc>
      </w:tr>
      <w:tr w:rsidR="00B5336E" w:rsidRPr="00292C60" w:rsidTr="008B16C5">
        <w:tc>
          <w:tcPr>
            <w:tcW w:w="3010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Konsumatoret privat</w:t>
            </w:r>
          </w:p>
        </w:tc>
        <w:tc>
          <w:tcPr>
            <w:tcW w:w="3003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200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Lekë /muaj/klient</w:t>
            </w:r>
          </w:p>
        </w:tc>
        <w:tc>
          <w:tcPr>
            <w:tcW w:w="3003" w:type="dxa"/>
          </w:tcPr>
          <w:p w:rsidR="00B5336E" w:rsidRPr="00292C60" w:rsidRDefault="00B5336E" w:rsidP="008B16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92C60">
              <w:rPr>
                <w:rFonts w:ascii="Times New Roman" w:hAnsi="Times New Roman"/>
                <w:sz w:val="24"/>
                <w:szCs w:val="24"/>
                <w:lang w:val="it-IT"/>
              </w:rPr>
              <w:t>250</w:t>
            </w:r>
            <w:r w:rsidRPr="00292C60">
              <w:rPr>
                <w:rFonts w:ascii="Times New Roman" w:hAnsi="Times New Roman"/>
                <w:sz w:val="24"/>
                <w:szCs w:val="24"/>
              </w:rPr>
              <w:t xml:space="preserve"> Lekë /muaj/klient</w:t>
            </w:r>
          </w:p>
        </w:tc>
      </w:tr>
    </w:tbl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3FB2">
        <w:rPr>
          <w:rFonts w:ascii="Times New Roman" w:hAnsi="Times New Roman" w:cs="Times New Roman"/>
          <w:sz w:val="24"/>
          <w:szCs w:val="24"/>
          <w:lang w:val="sq-AL"/>
        </w:rPr>
        <w:t xml:space="preserve">Gjithashtu, bashkëlidhur po ju përcjellim </w:t>
      </w:r>
      <w:r>
        <w:rPr>
          <w:rFonts w:ascii="Times New Roman" w:hAnsi="Times New Roman" w:cs="Times New Roman"/>
          <w:sz w:val="24"/>
          <w:szCs w:val="24"/>
          <w:lang w:val="sq-AL"/>
        </w:rPr>
        <w:t>relacionin</w:t>
      </w:r>
      <w:r w:rsidRPr="00653FB2">
        <w:rPr>
          <w:rFonts w:ascii="Times New Roman" w:hAnsi="Times New Roman" w:cs="Times New Roman"/>
          <w:sz w:val="24"/>
          <w:szCs w:val="24"/>
          <w:lang w:val="sq-AL"/>
        </w:rPr>
        <w:t xml:space="preserve"> teknik </w:t>
      </w:r>
      <w:r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653FB2">
        <w:rPr>
          <w:rFonts w:ascii="Times New Roman" w:hAnsi="Times New Roman" w:cs="Times New Roman"/>
          <w:sz w:val="24"/>
          <w:szCs w:val="24"/>
          <w:lang w:val="sq-AL"/>
        </w:rPr>
        <w:t xml:space="preserve"> ekonomik mbi të cilën bazohet nevoja për nivelin e ri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653FB2">
        <w:rPr>
          <w:rFonts w:ascii="Times New Roman" w:hAnsi="Times New Roman" w:cs="Times New Roman"/>
          <w:sz w:val="24"/>
          <w:szCs w:val="24"/>
          <w:lang w:val="sq-AL"/>
        </w:rPr>
        <w:t xml:space="preserve">tarifave. </w:t>
      </w:r>
    </w:p>
    <w:p w:rsidR="00B5336E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5336E" w:rsidRPr="00DE7B31" w:rsidRDefault="00B5336E" w:rsidP="00B5336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E7B31">
        <w:rPr>
          <w:rFonts w:ascii="Times New Roman" w:hAnsi="Times New Roman" w:cs="Times New Roman"/>
          <w:sz w:val="24"/>
          <w:szCs w:val="24"/>
          <w:lang w:val="sq-AL"/>
        </w:rPr>
        <w:t>Me respekt,</w:t>
      </w:r>
    </w:p>
    <w:p w:rsidR="00F5477E" w:rsidRDefault="00F5477E" w:rsidP="00B533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:rsidR="00F5477E" w:rsidRDefault="00F5477E" w:rsidP="005409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:rsidR="00B5336E" w:rsidRDefault="00B5336E" w:rsidP="00B5336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ADMINISTRATOR</w:t>
      </w:r>
    </w:p>
    <w:p w:rsidR="00B5336E" w:rsidRDefault="00B5336E" w:rsidP="00B5336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25F54">
        <w:rPr>
          <w:rFonts w:ascii="Times New Roman" w:hAnsi="Times New Roman" w:cs="Times New Roman"/>
          <w:b/>
          <w:sz w:val="24"/>
          <w:szCs w:val="24"/>
          <w:lang w:val="sq-AL"/>
        </w:rPr>
        <w:t>Pelivan SINAJ</w:t>
      </w:r>
    </w:p>
    <w:p w:rsidR="00E5758B" w:rsidRDefault="00E5758B" w:rsidP="00FF1D7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651BC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5336E" w:rsidRDefault="00B5336E" w:rsidP="008731F7">
      <w:pPr>
        <w:pBdr>
          <w:top w:val="single" w:sz="4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it-IT"/>
        </w:rPr>
        <w:t>Adresa:Blvd. “Republika ”</w:t>
      </w:r>
      <w:r>
        <w:rPr>
          <w:rFonts w:ascii="Times New Roman" w:hAnsi="Times New Roman"/>
          <w:sz w:val="18"/>
          <w:szCs w:val="18"/>
        </w:rPr>
        <w:t>, Berat 5001.Shqipëri,Tel /00355(0) 2 32 34 935,</w:t>
      </w:r>
      <w:r>
        <w:rPr>
          <w:rFonts w:ascii="Times New Roman" w:hAnsi="Times New Roman"/>
          <w:sz w:val="18"/>
          <w:szCs w:val="18"/>
          <w:lang w:val="it-IT"/>
        </w:rPr>
        <w:t>Website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10" w:history="1">
        <w:r w:rsidRPr="00DE4398">
          <w:rPr>
            <w:rStyle w:val="Hyperlink"/>
            <w:rFonts w:ascii="Times New Roman" w:hAnsi="Times New Roman"/>
            <w:sz w:val="18"/>
            <w:szCs w:val="18"/>
          </w:rPr>
          <w:t>www.bashkiaberat.gov.al</w:t>
        </w:r>
      </w:hyperlink>
      <w:r>
        <w:rPr>
          <w:rFonts w:ascii="Times New Roman" w:hAnsi="Times New Roman"/>
          <w:sz w:val="18"/>
          <w:szCs w:val="18"/>
        </w:rPr>
        <w:t xml:space="preserve">,  Email : </w:t>
      </w:r>
      <w:r w:rsidRPr="00876DD0">
        <w:rPr>
          <w:rFonts w:ascii="Times New Roman" w:hAnsi="Times New Roman"/>
          <w:sz w:val="18"/>
          <w:szCs w:val="18"/>
        </w:rPr>
        <w:t>bashkiaberat@yahoo.com</w:t>
      </w:r>
      <w:bookmarkStart w:id="0" w:name="_GoBack"/>
      <w:bookmarkEnd w:id="0"/>
    </w:p>
    <w:p w:rsidR="00B5336E" w:rsidRPr="00B5336E" w:rsidRDefault="00B5336E" w:rsidP="008731F7">
      <w:pPr>
        <w:spacing w:after="0" w:line="360" w:lineRule="auto"/>
      </w:pPr>
    </w:p>
    <w:sectPr w:rsidR="00B5336E" w:rsidRPr="00B5336E" w:rsidSect="0052118B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93" w:rsidRDefault="00590593" w:rsidP="00412E0A">
      <w:pPr>
        <w:spacing w:after="0" w:line="240" w:lineRule="auto"/>
      </w:pPr>
      <w:r>
        <w:separator/>
      </w:r>
    </w:p>
  </w:endnote>
  <w:endnote w:type="continuationSeparator" w:id="0">
    <w:p w:rsidR="00590593" w:rsidRDefault="00590593" w:rsidP="0041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93" w:rsidRDefault="00590593" w:rsidP="00412E0A">
      <w:pPr>
        <w:spacing w:after="0" w:line="240" w:lineRule="auto"/>
      </w:pPr>
      <w:r>
        <w:separator/>
      </w:r>
    </w:p>
  </w:footnote>
  <w:footnote w:type="continuationSeparator" w:id="0">
    <w:p w:rsidR="00590593" w:rsidRDefault="00590593" w:rsidP="0041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7286E"/>
    <w:multiLevelType w:val="hybridMultilevel"/>
    <w:tmpl w:val="A5C86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10B04"/>
    <w:multiLevelType w:val="hybridMultilevel"/>
    <w:tmpl w:val="B2A04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8"/>
    <w:rsid w:val="000634FD"/>
    <w:rsid w:val="000A7E23"/>
    <w:rsid w:val="0018482C"/>
    <w:rsid w:val="001F7961"/>
    <w:rsid w:val="0027414C"/>
    <w:rsid w:val="00382023"/>
    <w:rsid w:val="003C5F3A"/>
    <w:rsid w:val="003E1A70"/>
    <w:rsid w:val="00412E0A"/>
    <w:rsid w:val="0050529D"/>
    <w:rsid w:val="00506E64"/>
    <w:rsid w:val="00527727"/>
    <w:rsid w:val="00540984"/>
    <w:rsid w:val="00551264"/>
    <w:rsid w:val="00590593"/>
    <w:rsid w:val="005E7AB0"/>
    <w:rsid w:val="00651BC4"/>
    <w:rsid w:val="006A1AE3"/>
    <w:rsid w:val="006A7485"/>
    <w:rsid w:val="00717EAB"/>
    <w:rsid w:val="00721FC5"/>
    <w:rsid w:val="007677A3"/>
    <w:rsid w:val="008261BE"/>
    <w:rsid w:val="008731F7"/>
    <w:rsid w:val="00902EDE"/>
    <w:rsid w:val="009123BB"/>
    <w:rsid w:val="00A0552B"/>
    <w:rsid w:val="00A6125C"/>
    <w:rsid w:val="00B138BF"/>
    <w:rsid w:val="00B5336E"/>
    <w:rsid w:val="00B751A9"/>
    <w:rsid w:val="00B77015"/>
    <w:rsid w:val="00B86256"/>
    <w:rsid w:val="00BA295C"/>
    <w:rsid w:val="00BA2DBB"/>
    <w:rsid w:val="00CA6F01"/>
    <w:rsid w:val="00CE634E"/>
    <w:rsid w:val="00D56DE6"/>
    <w:rsid w:val="00DB5F34"/>
    <w:rsid w:val="00DF585E"/>
    <w:rsid w:val="00DF6160"/>
    <w:rsid w:val="00E5758B"/>
    <w:rsid w:val="00F25640"/>
    <w:rsid w:val="00F344F1"/>
    <w:rsid w:val="00F5477E"/>
    <w:rsid w:val="00FD1B82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C081A-AFC9-4F11-B7B1-1A025AB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7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F1D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D78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FF1D7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F1D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1FC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0A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B5336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5336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ashkiaberat.gov.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2024-02-16T12:17:00Z</cp:lastPrinted>
  <dcterms:created xsi:type="dcterms:W3CDTF">2024-09-19T12:48:00Z</dcterms:created>
  <dcterms:modified xsi:type="dcterms:W3CDTF">2024-09-19T12:48:00Z</dcterms:modified>
</cp:coreProperties>
</file>