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C76C1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2A248BC1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57122315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14:paraId="6DD8D0C4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31CDDDE0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41C598CA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548362FC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Contract</w:t>
      </w:r>
      <w:r w:rsidRPr="005F2975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A646D3">
        <w:rPr>
          <w:rFonts w:ascii="Times New Roman" w:hAnsi="Times New Roman"/>
          <w:b w:val="0"/>
          <w:sz w:val="28"/>
          <w:szCs w:val="28"/>
          <w:highlight w:val="yellow"/>
          <w:lang w:val="en-GB"/>
        </w:rPr>
        <w:t>number</w:t>
      </w:r>
      <w:r w:rsidRPr="009B30FB">
        <w:rPr>
          <w:rFonts w:ascii="Times New Roman" w:hAnsi="Times New Roman"/>
          <w:sz w:val="28"/>
          <w:szCs w:val="28"/>
        </w:rPr>
        <w:t>&gt;</w:t>
      </w:r>
    </w:p>
    <w:p w14:paraId="4F794313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7A0F0E75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B202BC">
        <w:rPr>
          <w:rFonts w:ascii="Times New Roman" w:hAnsi="Times New Roman"/>
          <w:b/>
          <w:smallCaps/>
          <w:sz w:val="28"/>
          <w:lang w:val="en-GB"/>
        </w:rPr>
        <w:t>[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g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 xml:space="preserve">eneral </w:t>
      </w:r>
      <w:r w:rsidR="00531265">
        <w:rPr>
          <w:rFonts w:ascii="Times New Roman" w:hAnsi="Times New Roman"/>
          <w:b/>
          <w:smallCaps/>
          <w:sz w:val="28"/>
          <w:highlight w:val="lightGray"/>
          <w:lang w:val="en-GB"/>
        </w:rPr>
        <w:t>b</w:t>
      </w:r>
      <w:r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  <w:r w:rsidR="00B202BC">
        <w:rPr>
          <w:rFonts w:ascii="Times New Roman" w:hAnsi="Times New Roman"/>
          <w:b/>
          <w:smallCaps/>
          <w:sz w:val="28"/>
          <w:lang w:val="en-GB"/>
        </w:rPr>
        <w:t>] [</w:t>
      </w:r>
      <w:r w:rsidR="002F33C5" w:rsidRPr="005F2975">
        <w:rPr>
          <w:rFonts w:ascii="Times New Roman" w:hAnsi="Times New Roman"/>
          <w:b/>
          <w:smallCaps/>
          <w:sz w:val="28"/>
          <w:highlight w:val="lightGray"/>
          <w:lang w:val="en-GB"/>
        </w:rPr>
        <w:t>EDF</w:t>
      </w:r>
      <w:r w:rsidR="00B202BC">
        <w:rPr>
          <w:rFonts w:ascii="Times New Roman" w:hAnsi="Times New Roman"/>
          <w:b/>
          <w:smallCaps/>
          <w:sz w:val="28"/>
          <w:lang w:val="en-GB"/>
        </w:rPr>
        <w:t>]</w:t>
      </w:r>
    </w:p>
    <w:p w14:paraId="2EAAA78D" w14:textId="72965665" w:rsidR="00AB471B" w:rsidRDefault="00CF0308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The Municipality of </w:t>
      </w:r>
      <w:proofErr w:type="spellStart"/>
      <w:r>
        <w:rPr>
          <w:rFonts w:ascii="Times New Roman" w:hAnsi="Times New Roman"/>
          <w:sz w:val="22"/>
          <w:szCs w:val="22"/>
          <w:lang w:val="en-GB"/>
        </w:rPr>
        <w:t>Berat</w:t>
      </w:r>
      <w:proofErr w:type="spellEnd"/>
    </w:p>
    <w:p w14:paraId="53DA23A5" w14:textId="77777777" w:rsidR="00CF0308" w:rsidRPr="009B30FB" w:rsidRDefault="00CF0308" w:rsidP="004B0424">
      <w:pPr>
        <w:widowControl w:val="0"/>
        <w:snapToGrid w:val="0"/>
        <w:spacing w:before="100" w:after="100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63EA883D" w14:textId="77777777" w:rsidR="004D2FD8" w:rsidRPr="00387E08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377978F5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4A221EF4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1A0A4937" w14:textId="77777777"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14:paraId="17A77CE7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14:paraId="0F6F6D0F" w14:textId="77777777"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14:paraId="40B78256" w14:textId="77777777"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14:paraId="5B0FE552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14:paraId="0BDD70F4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49430546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2B2E36F5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26FF1764" w14:textId="0187E1FA" w:rsidR="00CD243E" w:rsidRDefault="00CD243E" w:rsidP="00CD243E">
      <w:pPr>
        <w:spacing w:before="240" w:after="0"/>
        <w:jc w:val="center"/>
        <w:outlineLvl w:val="0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7B0793">
        <w:rPr>
          <w:rFonts w:ascii="Times New Roman" w:hAnsi="Times New Roman"/>
          <w:b/>
          <w:sz w:val="24"/>
          <w:szCs w:val="24"/>
          <w:lang w:val="en-GB"/>
        </w:rPr>
        <w:t xml:space="preserve">PROJECT </w:t>
      </w:r>
      <w:r w:rsidR="007B0793" w:rsidRPr="007B0793">
        <w:rPr>
          <w:rFonts w:ascii="Times New Roman" w:hAnsi="Times New Roman"/>
          <w:b/>
          <w:sz w:val="24"/>
          <w:szCs w:val="24"/>
          <w:lang w:val="en-GB"/>
        </w:rPr>
        <w:t>:</w:t>
      </w:r>
      <w:proofErr w:type="gramEnd"/>
      <w:r w:rsidR="007B0793" w:rsidRPr="007B079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F0308" w:rsidRPr="007B0793">
        <w:rPr>
          <w:rFonts w:ascii="Times New Roman" w:hAnsi="Times New Roman"/>
          <w:sz w:val="24"/>
          <w:szCs w:val="24"/>
          <w:lang w:val="en-GB"/>
        </w:rPr>
        <w:t>Fire</w:t>
      </w:r>
      <w:r w:rsidR="0004776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F0308" w:rsidRPr="007B0793">
        <w:rPr>
          <w:rFonts w:ascii="Times New Roman" w:hAnsi="Times New Roman"/>
          <w:sz w:val="24"/>
          <w:szCs w:val="24"/>
          <w:lang w:val="en-GB"/>
        </w:rPr>
        <w:t>Prep</w:t>
      </w:r>
    </w:p>
    <w:p w14:paraId="52E40A6F" w14:textId="77777777" w:rsidR="007B0793" w:rsidRPr="007B0793" w:rsidRDefault="007B0793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53F3DAF8" w14:textId="1226174E" w:rsidR="007B0793" w:rsidRPr="007B0793" w:rsidRDefault="007B0793" w:rsidP="007B0793">
      <w:pPr>
        <w:tabs>
          <w:tab w:val="left" w:pos="7491"/>
        </w:tabs>
        <w:rPr>
          <w:rFonts w:ascii="Times New Roman" w:hAnsi="Times New Roman"/>
          <w:bCs/>
          <w:sz w:val="24"/>
          <w:szCs w:val="24"/>
          <w:lang w:val="en-GB"/>
        </w:rPr>
      </w:pPr>
      <w:r w:rsidRPr="007B0793">
        <w:rPr>
          <w:rFonts w:ascii="Times New Roman" w:hAnsi="Times New Roman"/>
          <w:bCs/>
          <w:sz w:val="24"/>
          <w:szCs w:val="24"/>
          <w:lang w:val="en-GB"/>
        </w:rPr>
        <w:t>Contract title: “</w:t>
      </w:r>
      <w:r w:rsidR="00047762" w:rsidRPr="00047762">
        <w:rPr>
          <w:rFonts w:ascii="Times New Roman" w:hAnsi="Times New Roman"/>
          <w:b/>
          <w:sz w:val="24"/>
          <w:szCs w:val="24"/>
          <w:lang w:val="en-GB"/>
        </w:rPr>
        <w:t xml:space="preserve">Procurement of uniform sets for 22 firefighters of </w:t>
      </w:r>
      <w:proofErr w:type="spellStart"/>
      <w:r w:rsidR="00047762" w:rsidRPr="00047762">
        <w:rPr>
          <w:rFonts w:ascii="Times New Roman" w:hAnsi="Times New Roman"/>
          <w:b/>
          <w:sz w:val="24"/>
          <w:szCs w:val="24"/>
          <w:lang w:val="en-GB"/>
        </w:rPr>
        <w:t>Berat</w:t>
      </w:r>
      <w:proofErr w:type="spellEnd"/>
      <w:r w:rsidRPr="007B0793">
        <w:rPr>
          <w:rFonts w:ascii="Times New Roman" w:hAnsi="Times New Roman"/>
          <w:bCs/>
          <w:sz w:val="24"/>
          <w:szCs w:val="24"/>
          <w:lang w:val="en-GB"/>
        </w:rPr>
        <w:t xml:space="preserve">” in the frame of the Project </w:t>
      </w:r>
      <w:proofErr w:type="spellStart"/>
      <w:r w:rsidRPr="007B0793">
        <w:rPr>
          <w:rFonts w:ascii="Times New Roman" w:hAnsi="Times New Roman"/>
          <w:bCs/>
          <w:sz w:val="24"/>
          <w:szCs w:val="24"/>
          <w:lang w:val="en-GB"/>
        </w:rPr>
        <w:t>FirePrep</w:t>
      </w:r>
      <w:proofErr w:type="spellEnd"/>
      <w:r w:rsidR="00303190"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7B0793">
        <w:rPr>
          <w:rFonts w:ascii="Times New Roman" w:hAnsi="Times New Roman"/>
          <w:bCs/>
          <w:sz w:val="24"/>
          <w:szCs w:val="24"/>
          <w:lang w:val="en-GB"/>
        </w:rPr>
        <w:tab/>
      </w:r>
    </w:p>
    <w:p w14:paraId="30D654B1" w14:textId="5734F618" w:rsidR="004D2FD8" w:rsidRPr="00303190" w:rsidRDefault="007B0793" w:rsidP="00303190">
      <w:pPr>
        <w:tabs>
          <w:tab w:val="left" w:pos="7491"/>
        </w:tabs>
        <w:rPr>
          <w:rFonts w:ascii="Times New Roman" w:hAnsi="Times New Roman"/>
          <w:bCs/>
          <w:sz w:val="24"/>
          <w:szCs w:val="24"/>
          <w:lang w:val="en-GB"/>
        </w:rPr>
      </w:pPr>
      <w:r w:rsidRPr="007B0793">
        <w:rPr>
          <w:rFonts w:ascii="Times New Roman" w:hAnsi="Times New Roman"/>
          <w:bCs/>
          <w:sz w:val="24"/>
          <w:szCs w:val="24"/>
          <w:lang w:val="en-GB"/>
        </w:rPr>
        <w:t xml:space="preserve">Publication reference: Interreg IPA II Cross-border Cooperation Programme Greece-Albania 2014-2020, </w:t>
      </w:r>
      <w:r w:rsidR="00047762" w:rsidRPr="00B01971">
        <w:rPr>
          <w:szCs w:val="24"/>
          <w:lang w:val="en-GB"/>
        </w:rPr>
        <w:t>Order n</w:t>
      </w:r>
      <w:r w:rsidR="00047762">
        <w:rPr>
          <w:szCs w:val="24"/>
          <w:lang w:val="en-GB"/>
        </w:rPr>
        <w:t>o</w:t>
      </w:r>
      <w:r w:rsidR="00047762" w:rsidRPr="00B01971">
        <w:rPr>
          <w:szCs w:val="24"/>
          <w:lang w:val="en-GB"/>
        </w:rPr>
        <w:t xml:space="preserve">. </w:t>
      </w:r>
      <w:proofErr w:type="gramStart"/>
      <w:r w:rsidR="00047762" w:rsidRPr="00B01971">
        <w:rPr>
          <w:szCs w:val="24"/>
        </w:rPr>
        <w:t>01 ,</w:t>
      </w:r>
      <w:proofErr w:type="gramEnd"/>
      <w:r w:rsidR="00047762" w:rsidRPr="00B01971">
        <w:rPr>
          <w:szCs w:val="24"/>
        </w:rPr>
        <w:t xml:space="preserve"> </w:t>
      </w:r>
      <w:r w:rsidR="00047762" w:rsidRPr="00B01971">
        <w:rPr>
          <w:szCs w:val="24"/>
          <w:lang w:val="en-GB"/>
        </w:rPr>
        <w:t xml:space="preserve">Prot. </w:t>
      </w:r>
      <w:r w:rsidR="00047762" w:rsidRPr="00B01971">
        <w:rPr>
          <w:szCs w:val="24"/>
        </w:rPr>
        <w:t xml:space="preserve">Nr. </w:t>
      </w:r>
      <w:r w:rsidR="00047762" w:rsidRPr="00B01971">
        <w:rPr>
          <w:szCs w:val="24"/>
          <w:lang w:val="en-GB"/>
        </w:rPr>
        <w:t>1346, dated 09.03.2023</w:t>
      </w:r>
    </w:p>
    <w:p w14:paraId="297BD65B" w14:textId="77777777"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6B90838C" w14:textId="5AAC8328" w:rsidR="004D2FD8" w:rsidRDefault="004D2FD8" w:rsidP="00CF0308">
      <w:pPr>
        <w:spacing w:before="240" w:after="240"/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subject of the contract shall be </w:t>
      </w:r>
      <w:r w:rsidRPr="00B83B99">
        <w:rPr>
          <w:rFonts w:ascii="Times New Roman" w:hAnsi="Times New Roman"/>
          <w:sz w:val="22"/>
          <w:lang w:val="en-GB"/>
        </w:rPr>
        <w:t>the</w:t>
      </w:r>
      <w:r w:rsidR="00047762">
        <w:rPr>
          <w:rFonts w:ascii="Times New Roman" w:hAnsi="Times New Roman"/>
          <w:sz w:val="22"/>
          <w:lang w:val="en-GB"/>
        </w:rPr>
        <w:t xml:space="preserve"> ‘’</w:t>
      </w:r>
      <w:r w:rsidRPr="00B83B99">
        <w:rPr>
          <w:rFonts w:ascii="Times New Roman" w:hAnsi="Times New Roman"/>
          <w:sz w:val="22"/>
          <w:lang w:val="en-GB"/>
        </w:rPr>
        <w:t xml:space="preserve"> </w:t>
      </w:r>
      <w:r w:rsidR="00047762" w:rsidRPr="00047762">
        <w:rPr>
          <w:rFonts w:ascii="Times New Roman" w:hAnsi="Times New Roman"/>
          <w:b/>
          <w:sz w:val="24"/>
          <w:szCs w:val="24"/>
          <w:lang w:val="en-GB"/>
        </w:rPr>
        <w:t xml:space="preserve">Procurement of uniform sets for 22 firefighters of </w:t>
      </w:r>
      <w:proofErr w:type="spellStart"/>
      <w:r w:rsidR="00047762" w:rsidRPr="00047762">
        <w:rPr>
          <w:rFonts w:ascii="Times New Roman" w:hAnsi="Times New Roman"/>
          <w:b/>
          <w:sz w:val="24"/>
          <w:szCs w:val="24"/>
          <w:lang w:val="en-GB"/>
        </w:rPr>
        <w:t>Berat</w:t>
      </w:r>
      <w:proofErr w:type="spellEnd"/>
      <w:r w:rsidR="007B0793" w:rsidRPr="007B0793">
        <w:rPr>
          <w:rFonts w:ascii="Times New Roman" w:hAnsi="Times New Roman"/>
          <w:b/>
          <w:sz w:val="24"/>
          <w:szCs w:val="24"/>
        </w:rPr>
        <w:t>” in the frame of the Project FirePrep</w:t>
      </w:r>
      <w:r w:rsidR="00303190">
        <w:rPr>
          <w:rFonts w:ascii="Times New Roman" w:hAnsi="Times New Roman"/>
          <w:b/>
          <w:sz w:val="24"/>
          <w:szCs w:val="24"/>
        </w:rPr>
        <w:t>.</w:t>
      </w:r>
    </w:p>
    <w:p w14:paraId="4D6402D9" w14:textId="77777777" w:rsidR="0020299E" w:rsidRDefault="0020299E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</w:p>
    <w:p w14:paraId="24CC8D23" w14:textId="77777777" w:rsidR="0020299E" w:rsidRDefault="0020299E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</w:p>
    <w:p w14:paraId="7A65F89D" w14:textId="77777777" w:rsidR="00DE0302" w:rsidRDefault="00DE0302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</w:p>
    <w:p w14:paraId="4F24C9F2" w14:textId="77777777" w:rsidR="00DE0302" w:rsidRDefault="00DE0302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</w:p>
    <w:p w14:paraId="74AF370B" w14:textId="77777777" w:rsidR="00DE0302" w:rsidRDefault="00DE0302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</w:p>
    <w:p w14:paraId="22137358" w14:textId="582476C5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place of acceptance of the supplies shall be</w:t>
      </w:r>
      <w:r w:rsidR="00123874">
        <w:rPr>
          <w:rFonts w:ascii="Times New Roman" w:hAnsi="Times New Roman"/>
          <w:sz w:val="22"/>
          <w:lang w:val="en-GB"/>
        </w:rPr>
        <w:t xml:space="preserve"> The Municipality of </w:t>
      </w:r>
      <w:proofErr w:type="spellStart"/>
      <w:proofErr w:type="gramStart"/>
      <w:r w:rsidR="00123874">
        <w:rPr>
          <w:rFonts w:ascii="Times New Roman" w:hAnsi="Times New Roman"/>
          <w:sz w:val="22"/>
          <w:lang w:val="en-GB"/>
        </w:rPr>
        <w:t>Berat</w:t>
      </w:r>
      <w:proofErr w:type="spellEnd"/>
      <w:r w:rsidR="00123874">
        <w:rPr>
          <w:rFonts w:ascii="Times New Roman" w:hAnsi="Times New Roman"/>
          <w:sz w:val="22"/>
          <w:lang w:val="en-GB"/>
        </w:rPr>
        <w:t xml:space="preserve"> 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>the</w:t>
      </w:r>
      <w:proofErr w:type="gramEnd"/>
      <w:r w:rsidRPr="007B70EE">
        <w:rPr>
          <w:rFonts w:ascii="Times New Roman" w:hAnsi="Times New Roman"/>
          <w:sz w:val="22"/>
          <w:lang w:val="en-GB"/>
        </w:rPr>
        <w:t xml:space="preserve"> time limits for delivery shall be </w:t>
      </w:r>
      <w:r w:rsidR="00047762">
        <w:rPr>
          <w:rFonts w:ascii="Times New Roman" w:hAnsi="Times New Roman"/>
          <w:sz w:val="22"/>
          <w:lang w:val="en-GB"/>
        </w:rPr>
        <w:t>1</w:t>
      </w:r>
      <w:r w:rsidR="0020299E">
        <w:rPr>
          <w:rFonts w:ascii="Times New Roman" w:hAnsi="Times New Roman"/>
          <w:sz w:val="22"/>
          <w:lang w:val="en-GB"/>
        </w:rPr>
        <w:t xml:space="preserve"> month from the Contract’s signature </w:t>
      </w:r>
      <w:r w:rsidR="00B202BC" w:rsidRPr="00D309DA">
        <w:rPr>
          <w:rFonts w:ascii="Times New Roman" w:hAnsi="Times New Roman"/>
          <w:sz w:val="22"/>
          <w:lang w:val="en-GB"/>
        </w:rPr>
        <w:t xml:space="preserve"> </w:t>
      </w:r>
      <w:r w:rsidRPr="00D309DA">
        <w:rPr>
          <w:rFonts w:ascii="Times New Roman" w:hAnsi="Times New Roman"/>
          <w:sz w:val="22"/>
          <w:lang w:val="en-GB"/>
        </w:rPr>
        <w:t>and the Incoterm applicable shall be</w:t>
      </w:r>
      <w:r w:rsidR="007B0793" w:rsidRPr="00D309DA">
        <w:rPr>
          <w:rFonts w:ascii="Times New Roman" w:hAnsi="Times New Roman"/>
          <w:sz w:val="22"/>
          <w:lang w:val="en-GB"/>
        </w:rPr>
        <w:t xml:space="preserve"> </w:t>
      </w:r>
      <w:proofErr w:type="spellStart"/>
      <w:r w:rsidR="0076436E" w:rsidRPr="00D309DA">
        <w:rPr>
          <w:rFonts w:ascii="Times New Roman" w:hAnsi="Times New Roman"/>
          <w:sz w:val="22"/>
          <w:lang w:val="en-GB"/>
        </w:rPr>
        <w:t>DAP</w:t>
      </w:r>
      <w:r w:rsidRPr="00D309DA">
        <w:rPr>
          <w:rFonts w:ascii="Times New Roman" w:hAnsi="Times New Roman"/>
          <w:sz w:val="22"/>
          <w:lang w:val="en-GB"/>
        </w:rPr>
        <w:t>.</w:t>
      </w:r>
      <w:r w:rsidR="0020299E">
        <w:rPr>
          <w:rFonts w:ascii="Times New Roman" w:hAnsi="Times New Roman"/>
          <w:sz w:val="22"/>
          <w:lang w:val="en-GB"/>
        </w:rPr>
        <w:t>T</w:t>
      </w:r>
      <w:r w:rsidR="00DE0302">
        <w:rPr>
          <w:rFonts w:ascii="Times New Roman" w:hAnsi="Times New Roman"/>
          <w:sz w:val="22"/>
          <w:lang w:val="en-GB"/>
        </w:rPr>
        <w:t>he</w:t>
      </w:r>
      <w:proofErr w:type="spellEnd"/>
      <w:r w:rsidR="00DE0302">
        <w:rPr>
          <w:rFonts w:ascii="Times New Roman" w:hAnsi="Times New Roman"/>
          <w:sz w:val="22"/>
          <w:lang w:val="en-GB"/>
        </w:rPr>
        <w:t xml:space="preserve"> </w:t>
      </w:r>
      <w:r w:rsidR="0020299E">
        <w:rPr>
          <w:rFonts w:ascii="Times New Roman" w:hAnsi="Times New Roman"/>
          <w:sz w:val="22"/>
          <w:lang w:val="en-GB"/>
        </w:rPr>
        <w:t xml:space="preserve">implementation period of tasks shall run from </w:t>
      </w:r>
      <w:r w:rsidR="00047762">
        <w:rPr>
          <w:rFonts w:ascii="Times New Roman" w:hAnsi="Times New Roman"/>
          <w:sz w:val="22"/>
          <w:lang w:val="en-GB"/>
        </w:rPr>
        <w:t>1</w:t>
      </w:r>
      <w:r w:rsidR="0020299E">
        <w:rPr>
          <w:rFonts w:ascii="Times New Roman" w:hAnsi="Times New Roman"/>
          <w:sz w:val="22"/>
          <w:lang w:val="en-GB"/>
        </w:rPr>
        <w:t>(</w:t>
      </w:r>
      <w:r w:rsidR="00047762">
        <w:rPr>
          <w:rFonts w:ascii="Times New Roman" w:hAnsi="Times New Roman"/>
          <w:sz w:val="22"/>
          <w:lang w:val="en-GB"/>
        </w:rPr>
        <w:t>one)</w:t>
      </w:r>
      <w:r w:rsidR="0020299E">
        <w:rPr>
          <w:rFonts w:ascii="Times New Roman" w:hAnsi="Times New Roman"/>
          <w:sz w:val="22"/>
          <w:lang w:val="en-GB"/>
        </w:rPr>
        <w:t xml:space="preserve"> month for provisional acceptance.</w:t>
      </w:r>
    </w:p>
    <w:p w14:paraId="0448FC5B" w14:textId="77777777" w:rsidR="00DE0302" w:rsidRDefault="00DE0302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</w:p>
    <w:p w14:paraId="5F3CB695" w14:textId="04E5F086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13E98CAC" w14:textId="46CF92E5" w:rsidR="004D2FD8" w:rsidRPr="00764FC7" w:rsidRDefault="004D2FD8" w:rsidP="00D82015">
      <w:pPr>
        <w:ind w:left="709" w:hanging="709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01C660AE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1E14E632" w14:textId="77777777" w:rsidR="00DE0302" w:rsidRDefault="00DE0302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31E3CF64" w14:textId="679D716A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0B97FD68" w14:textId="6E0E5DB0"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56030C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23874">
        <w:rPr>
          <w:rFonts w:ascii="Times New Roman" w:hAnsi="Times New Roman"/>
          <w:sz w:val="22"/>
          <w:lang w:val="en-GB"/>
        </w:rPr>
        <w:t xml:space="preserve">EUR </w:t>
      </w:r>
      <w:r w:rsidR="00047762" w:rsidRPr="00395F82">
        <w:rPr>
          <w:sz w:val="22"/>
          <w:szCs w:val="22"/>
        </w:rPr>
        <w:t>40</w:t>
      </w:r>
      <w:r w:rsidR="00047762">
        <w:rPr>
          <w:sz w:val="22"/>
          <w:szCs w:val="22"/>
        </w:rPr>
        <w:t>,</w:t>
      </w:r>
      <w:r w:rsidR="00047762" w:rsidRPr="00395F82">
        <w:rPr>
          <w:sz w:val="22"/>
          <w:szCs w:val="22"/>
        </w:rPr>
        <w:t>569</w:t>
      </w:r>
      <w:bookmarkStart w:id="2" w:name="_GoBack"/>
      <w:bookmarkEnd w:id="2"/>
      <w:r w:rsidR="00047762" w:rsidRPr="00CA0C77">
        <w:rPr>
          <w:sz w:val="22"/>
          <w:szCs w:val="22"/>
        </w:rPr>
        <w:t xml:space="preserve"> </w:t>
      </w:r>
      <w:r w:rsidR="00D309DA">
        <w:rPr>
          <w:rFonts w:ascii="Times New Roman" w:hAnsi="Times New Roman"/>
          <w:sz w:val="22"/>
          <w:lang w:val="en-GB"/>
        </w:rPr>
        <w:t>without VAT</w:t>
      </w:r>
      <w:r w:rsidR="00DE0302">
        <w:rPr>
          <w:rFonts w:ascii="Times New Roman" w:hAnsi="Times New Roman"/>
          <w:sz w:val="22"/>
          <w:lang w:val="en-GB"/>
        </w:rPr>
        <w:t>.</w:t>
      </w:r>
      <w:r w:rsidR="00D309DA">
        <w:rPr>
          <w:rFonts w:ascii="Times New Roman" w:hAnsi="Times New Roman"/>
          <w:sz w:val="22"/>
          <w:lang w:val="en-GB"/>
        </w:rPr>
        <w:t xml:space="preserve"> </w:t>
      </w:r>
    </w:p>
    <w:p w14:paraId="60E13C98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3BDE8DCD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63F2D19B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756002DE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7F5AFD80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60BC0545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282305F4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14:paraId="62A82BF8" w14:textId="77777777" w:rsidR="00187253" w:rsidRPr="00DE0302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DE0302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DE0302">
        <w:rPr>
          <w:rFonts w:ascii="Times New Roman" w:hAnsi="Times New Roman"/>
          <w:sz w:val="22"/>
          <w:lang w:val="en-GB"/>
        </w:rPr>
        <w:t xml:space="preserve">the </w:t>
      </w:r>
      <w:r w:rsidRPr="00DE0302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DE0302">
        <w:rPr>
          <w:rFonts w:ascii="Times New Roman" w:hAnsi="Times New Roman"/>
          <w:sz w:val="22"/>
          <w:lang w:val="en-GB"/>
        </w:rPr>
        <w:t>]</w:t>
      </w:r>
      <w:r w:rsidR="00B202BC" w:rsidRPr="00DE0302">
        <w:rPr>
          <w:rFonts w:ascii="Times New Roman" w:hAnsi="Times New Roman"/>
          <w:sz w:val="22"/>
          <w:lang w:val="en-GB"/>
        </w:rPr>
        <w:t>)</w:t>
      </w:r>
      <w:r w:rsidRPr="00DE0302">
        <w:rPr>
          <w:rFonts w:ascii="Times New Roman" w:hAnsi="Times New Roman"/>
          <w:sz w:val="22"/>
          <w:lang w:val="en-GB"/>
        </w:rPr>
        <w:t>;</w:t>
      </w:r>
    </w:p>
    <w:p w14:paraId="68ABAA20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519AA307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6062D6A8" w14:textId="77777777" w:rsidR="00DE0302" w:rsidRDefault="00DE0302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p w14:paraId="346D35BC" w14:textId="0617F6C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79548CE6" w14:textId="555FBF41" w:rsidR="007A4C4D" w:rsidRDefault="00DE0302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For the purpose of Article 44 of the General Conditions,</w:t>
      </w:r>
    </w:p>
    <w:p w14:paraId="5539041E" w14:textId="2D4790FC" w:rsidR="00DE0302" w:rsidRPr="00DE0302" w:rsidRDefault="00DE0302" w:rsidP="00DE0302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data protection notice is available </w:t>
      </w:r>
      <w:proofErr w:type="gramStart"/>
      <w:r>
        <w:rPr>
          <w:rFonts w:ascii="Times New Roman" w:hAnsi="Times New Roman"/>
        </w:rPr>
        <w:t>at :</w:t>
      </w:r>
      <w:proofErr w:type="gramEnd"/>
      <w:r>
        <w:rPr>
          <w:rFonts w:ascii="Times New Roman" w:hAnsi="Times New Roman"/>
        </w:rPr>
        <w:t xml:space="preserve"> http://ec.europa.eu/europeaid/prag/annexes.do.chapterTitleCode=A.</w:t>
      </w:r>
    </w:p>
    <w:p w14:paraId="3BAE5209" w14:textId="346B7BFF"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DE0302">
        <w:rPr>
          <w:rFonts w:ascii="Times New Roman" w:hAnsi="Times New Roman"/>
          <w:sz w:val="22"/>
          <w:szCs w:val="22"/>
          <w:lang w:val="en-GB"/>
        </w:rPr>
        <w:t>three</w:t>
      </w:r>
      <w:r w:rsidR="00227A05" w:rsidRPr="000D4DE7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0D4DE7">
        <w:rPr>
          <w:rFonts w:ascii="Times New Roman" w:hAnsi="Times New Roman"/>
          <w:sz w:val="22"/>
          <w:szCs w:val="22"/>
          <w:lang w:val="en-GB"/>
        </w:rPr>
        <w:t>originals</w:t>
      </w:r>
    </w:p>
    <w:p w14:paraId="298DF9AA" w14:textId="5D070451" w:rsidR="004D2FD8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713D784E" w14:textId="39EA8900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759693AC" w14:textId="4A68EB07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360D4FCC" w14:textId="4492A7C2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493A9824" w14:textId="08A2E0F9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6B9D74CA" w14:textId="54D169B4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00D0FA2F" w14:textId="6DB5F655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78B80E31" w14:textId="56BDDEA5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4D1354E7" w14:textId="0B17EB85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2FB30E21" w14:textId="32081AA1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7BF26847" w14:textId="791BD684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3C01852F" w14:textId="0BDA387A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4DB55093" w14:textId="0B7A2385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67B15FFC" w14:textId="69FC84D3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17807051" w14:textId="33D4F8D3" w:rsidR="00DE0302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p w14:paraId="0C5A8661" w14:textId="77777777" w:rsidR="00DE0302" w:rsidRPr="007B70EE" w:rsidRDefault="00DE0302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32"/>
      </w:tblGrid>
      <w:tr w:rsidR="004D2FD8" w:rsidRPr="007B70EE" w14:paraId="6A0EA3D1" w14:textId="77777777" w:rsidTr="00514BE0">
        <w:trPr>
          <w:trHeight w:val="520"/>
        </w:trPr>
        <w:tc>
          <w:tcPr>
            <w:tcW w:w="4253" w:type="dxa"/>
            <w:gridSpan w:val="2"/>
          </w:tcPr>
          <w:p w14:paraId="46AFB2CB" w14:textId="77777777" w:rsidR="004D2FD8" w:rsidRPr="00D309DA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309DA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For the </w:t>
            </w:r>
            <w:r w:rsidR="00531265" w:rsidRPr="00D309DA">
              <w:rPr>
                <w:rFonts w:ascii="Times New Roman" w:hAnsi="Times New Roman"/>
                <w:sz w:val="28"/>
                <w:szCs w:val="28"/>
                <w:lang w:val="en-GB"/>
              </w:rPr>
              <w:t>c</w:t>
            </w:r>
            <w:r w:rsidRPr="00D309DA">
              <w:rPr>
                <w:rFonts w:ascii="Times New Roman" w:hAnsi="Times New Roman"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14:paraId="5D6AECE3" w14:textId="77777777" w:rsidR="004D2FD8" w:rsidRPr="00D309DA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D309DA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For the </w:t>
            </w:r>
            <w:r w:rsidR="00531265" w:rsidRPr="00D309DA">
              <w:rPr>
                <w:rFonts w:ascii="Times New Roman" w:hAnsi="Times New Roman"/>
                <w:sz w:val="28"/>
                <w:szCs w:val="28"/>
                <w:lang w:val="en-GB"/>
              </w:rPr>
              <w:t>c</w:t>
            </w:r>
            <w:r w:rsidRPr="00D309DA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ontracting </w:t>
            </w:r>
            <w:r w:rsidR="00531265" w:rsidRPr="00D309DA">
              <w:rPr>
                <w:rFonts w:ascii="Times New Roman" w:hAnsi="Times New Roman"/>
                <w:sz w:val="28"/>
                <w:szCs w:val="28"/>
                <w:lang w:val="en-GB"/>
              </w:rPr>
              <w:t>a</w:t>
            </w:r>
            <w:r w:rsidRPr="00D309DA">
              <w:rPr>
                <w:rFonts w:ascii="Times New Roman" w:hAnsi="Times New Roman"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5FF14855" w14:textId="77777777" w:rsidTr="00514BE0">
        <w:trPr>
          <w:cantSplit/>
          <w:trHeight w:val="555"/>
        </w:trPr>
        <w:tc>
          <w:tcPr>
            <w:tcW w:w="1985" w:type="dxa"/>
          </w:tcPr>
          <w:p w14:paraId="4EAF8395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3E57D23B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4A28F8E0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20E0823E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421F5221" w14:textId="77777777" w:rsidTr="00514BE0">
        <w:trPr>
          <w:cantSplit/>
          <w:trHeight w:val="577"/>
        </w:trPr>
        <w:tc>
          <w:tcPr>
            <w:tcW w:w="1985" w:type="dxa"/>
          </w:tcPr>
          <w:p w14:paraId="4670CD7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087B109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09F9FCE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26C26D4A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0BE7865B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C19F5B3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AF3A70D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105C5B18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555E691" w14:textId="77777777" w:rsidTr="00514BE0">
        <w:trPr>
          <w:cantSplit/>
          <w:trHeight w:val="878"/>
        </w:trPr>
        <w:tc>
          <w:tcPr>
            <w:tcW w:w="1985" w:type="dxa"/>
          </w:tcPr>
          <w:p w14:paraId="469E8E7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BCD045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32D2B0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46D914DF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11027A9E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726BD7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43E5AD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372EB15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13954EA8" w14:textId="77777777" w:rsidTr="00514BE0">
        <w:trPr>
          <w:cantSplit/>
          <w:trHeight w:val="428"/>
        </w:trPr>
        <w:tc>
          <w:tcPr>
            <w:tcW w:w="1985" w:type="dxa"/>
          </w:tcPr>
          <w:p w14:paraId="1B7B169B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C1EE830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28BE55E7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28F237F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F58D4C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3DE84B16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27BFAFB9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footerReference w:type="default" r:id="rId8"/>
      <w:footerReference w:type="first" r:id="rId9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34144" w14:textId="77777777" w:rsidR="00A3278B" w:rsidRDefault="00A3278B">
      <w:r>
        <w:separator/>
      </w:r>
    </w:p>
    <w:p w14:paraId="64BB7A95" w14:textId="77777777" w:rsidR="00A3278B" w:rsidRDefault="00A3278B"/>
  </w:endnote>
  <w:endnote w:type="continuationSeparator" w:id="0">
    <w:p w14:paraId="3A89899D" w14:textId="77777777" w:rsidR="00A3278B" w:rsidRDefault="00A3278B">
      <w:r>
        <w:continuationSeparator/>
      </w:r>
    </w:p>
    <w:p w14:paraId="49711FA8" w14:textId="77777777" w:rsidR="00A3278B" w:rsidRDefault="00A3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CD5D" w14:textId="7BA3C9D0" w:rsidR="00326BE0" w:rsidRPr="0076436E" w:rsidRDefault="00326BE0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76436E">
      <w:rPr>
        <w:rFonts w:ascii="Times New Roman" w:hAnsi="Times New Roman"/>
        <w:sz w:val="18"/>
        <w:szCs w:val="18"/>
      </w:rPr>
      <w:fldChar w:fldCharType="begin"/>
    </w:r>
    <w:r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76436E">
      <w:rPr>
        <w:rFonts w:ascii="Times New Roman" w:hAnsi="Times New Roman"/>
        <w:sz w:val="18"/>
        <w:szCs w:val="18"/>
      </w:rPr>
      <w:fldChar w:fldCharType="separate"/>
    </w:r>
    <w:r w:rsidR="00047762">
      <w:rPr>
        <w:rFonts w:ascii="Times New Roman" w:hAnsi="Times New Roman"/>
        <w:noProof/>
        <w:sz w:val="18"/>
        <w:szCs w:val="18"/>
        <w:lang w:val="en-GB"/>
      </w:rPr>
      <w:t>4</w:t>
    </w:r>
    <w:r w:rsidRPr="0076436E">
      <w:rPr>
        <w:rFonts w:ascii="Times New Roman" w:hAnsi="Times New Roman"/>
        <w:sz w:val="18"/>
        <w:szCs w:val="18"/>
      </w:rPr>
      <w:fldChar w:fldCharType="end"/>
    </w:r>
    <w:r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Pr="0076436E">
      <w:rPr>
        <w:rFonts w:ascii="Times New Roman" w:hAnsi="Times New Roman"/>
        <w:sz w:val="18"/>
        <w:szCs w:val="18"/>
      </w:rPr>
      <w:fldChar w:fldCharType="begin"/>
    </w:r>
    <w:r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76436E">
      <w:rPr>
        <w:rFonts w:ascii="Times New Roman" w:hAnsi="Times New Roman"/>
        <w:sz w:val="18"/>
        <w:szCs w:val="18"/>
      </w:rPr>
      <w:fldChar w:fldCharType="separate"/>
    </w:r>
    <w:r w:rsidR="00047762">
      <w:rPr>
        <w:rFonts w:ascii="Times New Roman" w:hAnsi="Times New Roman"/>
        <w:noProof/>
        <w:sz w:val="18"/>
        <w:szCs w:val="18"/>
        <w:lang w:val="en-GB"/>
      </w:rPr>
      <w:t>4</w:t>
    </w:r>
    <w:r w:rsidRPr="0076436E">
      <w:rPr>
        <w:rFonts w:ascii="Times New Roman" w:hAnsi="Times New Roman"/>
        <w:sz w:val="18"/>
        <w:szCs w:val="18"/>
      </w:rPr>
      <w:fldChar w:fldCharType="end"/>
    </w:r>
  </w:p>
  <w:p w14:paraId="25241F43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9C01B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391BA918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72D89" w14:textId="77777777" w:rsidR="00A3278B" w:rsidRDefault="00A3278B" w:rsidP="008056C4">
      <w:pPr>
        <w:spacing w:before="0" w:after="0"/>
      </w:pPr>
      <w:r>
        <w:separator/>
      </w:r>
    </w:p>
  </w:footnote>
  <w:footnote w:type="continuationSeparator" w:id="0">
    <w:p w14:paraId="0236DE37" w14:textId="77777777" w:rsidR="00A3278B" w:rsidRDefault="00A3278B">
      <w:r>
        <w:continuationSeparator/>
      </w:r>
    </w:p>
    <w:p w14:paraId="0DF7833B" w14:textId="77777777" w:rsidR="00A3278B" w:rsidRDefault="00A3278B"/>
  </w:footnote>
  <w:footnote w:id="1">
    <w:p w14:paraId="74A9913E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2835E811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3714A76C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B5E2C5E"/>
    <w:multiLevelType w:val="hybridMultilevel"/>
    <w:tmpl w:val="A47A7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1"/>
  </w:num>
  <w:num w:numId="6">
    <w:abstractNumId w:val="16"/>
  </w:num>
  <w:num w:numId="7">
    <w:abstractNumId w:val="14"/>
  </w:num>
  <w:num w:numId="8">
    <w:abstractNumId w:val="20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19"/>
  </w:num>
  <w:num w:numId="18">
    <w:abstractNumId w:val="24"/>
  </w:num>
  <w:num w:numId="19">
    <w:abstractNumId w:val="29"/>
  </w:num>
  <w:num w:numId="20">
    <w:abstractNumId w:val="9"/>
  </w:num>
  <w:num w:numId="21">
    <w:abstractNumId w:val="22"/>
  </w:num>
  <w:num w:numId="22">
    <w:abstractNumId w:val="13"/>
  </w:num>
  <w:num w:numId="23">
    <w:abstractNumId w:val="15"/>
  </w:num>
  <w:num w:numId="24">
    <w:abstractNumId w:val="32"/>
  </w:num>
  <w:num w:numId="25">
    <w:abstractNumId w:val="18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47762"/>
    <w:rsid w:val="00051DD7"/>
    <w:rsid w:val="00056EAA"/>
    <w:rsid w:val="00063C56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16EBB"/>
    <w:rsid w:val="00123874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64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0299E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45C09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1E98"/>
    <w:rsid w:val="002B6401"/>
    <w:rsid w:val="002C00DD"/>
    <w:rsid w:val="002C649A"/>
    <w:rsid w:val="002C6DD9"/>
    <w:rsid w:val="002D2045"/>
    <w:rsid w:val="002D2FC0"/>
    <w:rsid w:val="002D47E8"/>
    <w:rsid w:val="002F1222"/>
    <w:rsid w:val="002F33C5"/>
    <w:rsid w:val="002F7E7A"/>
    <w:rsid w:val="00303190"/>
    <w:rsid w:val="0031155D"/>
    <w:rsid w:val="00315611"/>
    <w:rsid w:val="00320F53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BC0"/>
    <w:rsid w:val="003F7DB7"/>
    <w:rsid w:val="0040221E"/>
    <w:rsid w:val="004101CB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4860"/>
    <w:rsid w:val="004B740F"/>
    <w:rsid w:val="004C35B5"/>
    <w:rsid w:val="004D2FD8"/>
    <w:rsid w:val="004E14D4"/>
    <w:rsid w:val="004F3254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0C"/>
    <w:rsid w:val="00560327"/>
    <w:rsid w:val="0056438D"/>
    <w:rsid w:val="00571A21"/>
    <w:rsid w:val="00575CB0"/>
    <w:rsid w:val="00587B3A"/>
    <w:rsid w:val="00591F23"/>
    <w:rsid w:val="00593550"/>
    <w:rsid w:val="00594CAA"/>
    <w:rsid w:val="005B03BC"/>
    <w:rsid w:val="005B2018"/>
    <w:rsid w:val="005C0EA1"/>
    <w:rsid w:val="005D2554"/>
    <w:rsid w:val="005D7669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6F0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0793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6A4D"/>
    <w:rsid w:val="007F7A3B"/>
    <w:rsid w:val="00800691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90C4A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1721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39CA"/>
    <w:rsid w:val="00A05FAD"/>
    <w:rsid w:val="00A25F39"/>
    <w:rsid w:val="00A3278B"/>
    <w:rsid w:val="00A512C9"/>
    <w:rsid w:val="00A539E4"/>
    <w:rsid w:val="00A57C2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057C5"/>
    <w:rsid w:val="00C12AF0"/>
    <w:rsid w:val="00C13C29"/>
    <w:rsid w:val="00C17310"/>
    <w:rsid w:val="00C302E1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0308"/>
    <w:rsid w:val="00CF33C6"/>
    <w:rsid w:val="00CF44E9"/>
    <w:rsid w:val="00CF6CFA"/>
    <w:rsid w:val="00CF6FDB"/>
    <w:rsid w:val="00D24893"/>
    <w:rsid w:val="00D309DA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2015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E0302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16B1"/>
    <w:rsid w:val="00EC057A"/>
    <w:rsid w:val="00EC7EE5"/>
    <w:rsid w:val="00ED4B36"/>
    <w:rsid w:val="00EE0ED9"/>
    <w:rsid w:val="00EE2E55"/>
    <w:rsid w:val="00EF01DC"/>
    <w:rsid w:val="00F02006"/>
    <w:rsid w:val="00F023B1"/>
    <w:rsid w:val="00F0574A"/>
    <w:rsid w:val="00F05CA5"/>
    <w:rsid w:val="00F200C8"/>
    <w:rsid w:val="00F232CE"/>
    <w:rsid w:val="00F3222C"/>
    <w:rsid w:val="00F33A99"/>
    <w:rsid w:val="00F40437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A6985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FF37E"/>
  <w15:docId w15:val="{FE35B127-0BF4-49BD-94FC-001346B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4A65-9E4E-4177-8A37-3627FEB3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2834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PC-6</cp:lastModifiedBy>
  <cp:revision>8</cp:revision>
  <cp:lastPrinted>2012-10-22T09:58:00Z</cp:lastPrinted>
  <dcterms:created xsi:type="dcterms:W3CDTF">2021-02-23T10:15:00Z</dcterms:created>
  <dcterms:modified xsi:type="dcterms:W3CDTF">2023-06-13T08:04:00Z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