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515" w14:textId="7C2C7D5B" w:rsidR="002139C6" w:rsidRPr="00DD2F41" w:rsidRDefault="009634A0">
      <w:pPr>
        <w:jc w:val="center"/>
        <w:rPr>
          <w:b/>
          <w:sz w:val="28"/>
          <w:szCs w:val="28"/>
          <w:lang w:val="en-GB"/>
        </w:rPr>
      </w:pPr>
      <w:r>
        <w:rPr>
          <w:noProof/>
          <w:snapToGrid/>
          <w:sz w:val="22"/>
          <w:szCs w:val="22"/>
          <w:lang w:val="en-GB"/>
        </w:rPr>
        <mc:AlternateContent>
          <mc:Choice Requires="wps">
            <w:drawing>
              <wp:anchor distT="0" distB="0" distL="114300" distR="114300" simplePos="0" relativeHeight="251657728" behindDoc="0" locked="0" layoutInCell="0" allowOverlap="1" wp14:anchorId="049CBA98" wp14:editId="0D7FD574">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C12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" o:allowincell="f" strokecolor="#d4d4d4" strokeweight="1.75pt">
                <v:shadow on="t" offset="0,-1pt"/>
              </v:line>
            </w:pict>
          </mc:Fallback>
        </mc:AlternateContent>
      </w:r>
      <w:r w:rsidR="002139C6"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002139C6" w:rsidRPr="00DD2F41">
        <w:rPr>
          <w:b/>
          <w:sz w:val="28"/>
          <w:szCs w:val="28"/>
          <w:lang w:val="en-GB"/>
        </w:rPr>
        <w:t>NOTICE</w:t>
      </w:r>
    </w:p>
    <w:p w14:paraId="3DEEDBCA" w14:textId="77777777" w:rsidR="002139C6" w:rsidRPr="00BD63A4" w:rsidRDefault="00EC34A9">
      <w:pPr>
        <w:jc w:val="center"/>
        <w:rPr>
          <w:rStyle w:val="Strong"/>
          <w:sz w:val="22"/>
          <w:szCs w:val="22"/>
          <w:lang w:val="en-GB"/>
        </w:rPr>
      </w:pPr>
      <w:r>
        <w:rPr>
          <w:rStyle w:val="Strong"/>
          <w:sz w:val="22"/>
          <w:szCs w:val="22"/>
          <w:lang w:val="en-GB"/>
        </w:rPr>
        <w:t>“</w:t>
      </w:r>
      <w:r w:rsidRPr="004A7F88">
        <w:rPr>
          <w:b/>
          <w:szCs w:val="24"/>
        </w:rPr>
        <w:t xml:space="preserve">Infrastructure </w:t>
      </w:r>
      <w:proofErr w:type="spellStart"/>
      <w:r w:rsidRPr="004A7F88">
        <w:rPr>
          <w:b/>
          <w:szCs w:val="24"/>
        </w:rPr>
        <w:t>works</w:t>
      </w:r>
      <w:proofErr w:type="spellEnd"/>
      <w:r w:rsidRPr="004A7F88">
        <w:rPr>
          <w:b/>
          <w:szCs w:val="24"/>
        </w:rPr>
        <w:t xml:space="preserve"> for the </w:t>
      </w:r>
      <w:proofErr w:type="spellStart"/>
      <w:r w:rsidRPr="004A7F88">
        <w:rPr>
          <w:b/>
          <w:szCs w:val="24"/>
        </w:rPr>
        <w:t>rehabilitation</w:t>
      </w:r>
      <w:proofErr w:type="spellEnd"/>
      <w:r w:rsidRPr="004A7F88">
        <w:rPr>
          <w:b/>
          <w:szCs w:val="24"/>
        </w:rPr>
        <w:t xml:space="preserve"> of the </w:t>
      </w:r>
      <w:proofErr w:type="spellStart"/>
      <w:r w:rsidRPr="004A7F88">
        <w:rPr>
          <w:b/>
          <w:szCs w:val="24"/>
        </w:rPr>
        <w:t>Firefighting</w:t>
      </w:r>
      <w:proofErr w:type="spellEnd"/>
      <w:r w:rsidRPr="004A7F88">
        <w:rPr>
          <w:b/>
          <w:szCs w:val="24"/>
        </w:rPr>
        <w:t xml:space="preserve"> Station of Berat.”, in the frame of the Project </w:t>
      </w:r>
      <w:proofErr w:type="spellStart"/>
      <w:r w:rsidRPr="004A7F88">
        <w:rPr>
          <w:b/>
          <w:szCs w:val="24"/>
        </w:rPr>
        <w:t>FirePREP</w:t>
      </w:r>
      <w:proofErr w:type="spellEnd"/>
      <w:r w:rsidRPr="00BD63A4">
        <w:rPr>
          <w:rStyle w:val="Strong"/>
          <w:sz w:val="22"/>
          <w:szCs w:val="22"/>
          <w:lang w:val="en-GB"/>
        </w:rPr>
        <w:t xml:space="preserve"> </w:t>
      </w:r>
    </w:p>
    <w:p w14:paraId="0F72A0F6" w14:textId="77777777" w:rsidR="005E63ED" w:rsidRPr="00EC34A9" w:rsidRDefault="00EC34A9" w:rsidP="0076200F">
      <w:pPr>
        <w:jc w:val="center"/>
        <w:rPr>
          <w:szCs w:val="24"/>
        </w:rPr>
      </w:pPr>
      <w:r w:rsidRPr="00EC34A9">
        <w:rPr>
          <w:b/>
          <w:szCs w:val="24"/>
        </w:rPr>
        <w:t xml:space="preserve">Berat, </w:t>
      </w:r>
      <w:proofErr w:type="spellStart"/>
      <w:r w:rsidRPr="00EC34A9">
        <w:rPr>
          <w:b/>
          <w:szCs w:val="24"/>
        </w:rPr>
        <w:t>Albania</w:t>
      </w:r>
      <w:proofErr w:type="spellEnd"/>
    </w:p>
    <w:p w14:paraId="3B95C945"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7C5735FA" w14:textId="77777777" w:rsidR="002139C6" w:rsidRPr="00BD63A4" w:rsidRDefault="00EC34A9" w:rsidP="00805EFA">
      <w:pPr>
        <w:ind w:left="709"/>
        <w:rPr>
          <w:sz w:val="22"/>
          <w:szCs w:val="22"/>
          <w:lang w:val="en-GB"/>
        </w:rPr>
      </w:pPr>
      <w:r w:rsidRPr="00EC34A9">
        <w:rPr>
          <w:szCs w:val="24"/>
          <w:lang w:val="sq-AL"/>
        </w:rPr>
        <w:t>INTERREG IPA CBC, Greece - Albania, 2014–2020 / “FirePREP”/ Prot No. 4519, Order No. 47, date 22.09.2020</w:t>
      </w:r>
    </w:p>
    <w:p w14:paraId="38BEB6D3"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07789200" w14:textId="5B04B5D2" w:rsidR="00B76C69" w:rsidRPr="00BD63A4" w:rsidRDefault="00ED60CD" w:rsidP="004C69BC">
      <w:pPr>
        <w:pStyle w:val="PRAGHeading2"/>
        <w:numPr>
          <w:ilvl w:val="0"/>
          <w:numId w:val="0"/>
        </w:numPr>
        <w:ind w:left="709"/>
        <w:rPr>
          <w:sz w:val="22"/>
          <w:szCs w:val="22"/>
          <w:lang w:val="en-GB"/>
        </w:rPr>
      </w:pPr>
      <w:r>
        <w:rPr>
          <w:sz w:val="22"/>
          <w:szCs w:val="22"/>
          <w:lang w:val="en-GB"/>
        </w:rPr>
        <w:t xml:space="preserve"> </w:t>
      </w:r>
      <w:proofErr w:type="spellStart"/>
      <w:r w:rsidR="00E0169C" w:rsidRPr="00F80C85">
        <w:rPr>
          <w:b/>
          <w:szCs w:val="24"/>
        </w:rPr>
        <w:t>Simplified</w:t>
      </w:r>
      <w:proofErr w:type="spellEnd"/>
      <w:r w:rsidR="00E0169C" w:rsidRPr="00F80C85">
        <w:rPr>
          <w:b/>
          <w:szCs w:val="24"/>
        </w:rPr>
        <w:t xml:space="preserve"> Tender </w:t>
      </w:r>
      <w:proofErr w:type="spellStart"/>
      <w:r w:rsidR="00E0169C" w:rsidRPr="00F80C85">
        <w:rPr>
          <w:b/>
          <w:szCs w:val="24"/>
        </w:rPr>
        <w:t>Procedure</w:t>
      </w:r>
      <w:proofErr w:type="spellEnd"/>
    </w:p>
    <w:p w14:paraId="3785B935"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201EEA5E" w14:textId="3106A9FD" w:rsidR="00A95184" w:rsidRPr="00BD63A4" w:rsidRDefault="00E0169C" w:rsidP="00BD63A4">
      <w:pPr>
        <w:pStyle w:val="PRAGHeading2"/>
        <w:numPr>
          <w:ilvl w:val="0"/>
          <w:numId w:val="0"/>
        </w:numPr>
        <w:ind w:left="709"/>
        <w:jc w:val="both"/>
        <w:rPr>
          <w:sz w:val="22"/>
          <w:szCs w:val="22"/>
          <w:lang w:val="en-GB"/>
        </w:rPr>
      </w:pPr>
      <w:r w:rsidRPr="00EC34A9">
        <w:rPr>
          <w:szCs w:val="24"/>
          <w:lang w:val="sq-AL"/>
        </w:rPr>
        <w:t>INTERREG IPA CBC, Greece - Albania, 2014–2020</w:t>
      </w:r>
      <w:r>
        <w:rPr>
          <w:szCs w:val="24"/>
          <w:lang w:val="sq-AL"/>
        </w:rPr>
        <w:t>/Pr</w:t>
      </w:r>
      <w:r w:rsidR="00D860F5">
        <w:rPr>
          <w:szCs w:val="24"/>
          <w:lang w:val="sq-AL"/>
        </w:rPr>
        <w:t>oject</w:t>
      </w:r>
      <w:r>
        <w:rPr>
          <w:szCs w:val="24"/>
          <w:lang w:val="sq-AL"/>
        </w:rPr>
        <w:t xml:space="preserve"> “</w:t>
      </w:r>
      <w:proofErr w:type="spellStart"/>
      <w:r w:rsidR="00EC34A9" w:rsidRPr="00EC34A9">
        <w:rPr>
          <w:bCs/>
          <w:snapToGrid/>
          <w:szCs w:val="24"/>
        </w:rPr>
        <w:t>Improved</w:t>
      </w:r>
      <w:proofErr w:type="spellEnd"/>
      <w:r w:rsidR="00EC34A9" w:rsidRPr="00EC34A9">
        <w:rPr>
          <w:bCs/>
          <w:snapToGrid/>
          <w:szCs w:val="24"/>
        </w:rPr>
        <w:t xml:space="preserve"> Forest FIRE </w:t>
      </w:r>
      <w:proofErr w:type="spellStart"/>
      <w:r w:rsidR="00EC34A9" w:rsidRPr="00EC34A9">
        <w:rPr>
          <w:bCs/>
          <w:snapToGrid/>
          <w:szCs w:val="24"/>
        </w:rPr>
        <w:t>PREParedness</w:t>
      </w:r>
      <w:proofErr w:type="spellEnd"/>
      <w:r w:rsidR="00EC34A9" w:rsidRPr="00EC34A9">
        <w:rPr>
          <w:bCs/>
          <w:snapToGrid/>
          <w:szCs w:val="24"/>
        </w:rPr>
        <w:t xml:space="preserve"> in </w:t>
      </w:r>
      <w:proofErr w:type="spellStart"/>
      <w:r w:rsidR="00EC34A9" w:rsidRPr="00EC34A9">
        <w:rPr>
          <w:bCs/>
          <w:snapToGrid/>
          <w:szCs w:val="24"/>
        </w:rPr>
        <w:t>Greece</w:t>
      </w:r>
      <w:proofErr w:type="spellEnd"/>
      <w:r w:rsidR="00EC34A9" w:rsidRPr="00EC34A9">
        <w:rPr>
          <w:bCs/>
          <w:snapToGrid/>
          <w:szCs w:val="24"/>
        </w:rPr>
        <w:t xml:space="preserve"> and </w:t>
      </w:r>
      <w:proofErr w:type="spellStart"/>
      <w:r w:rsidR="00EC34A9" w:rsidRPr="00EC34A9">
        <w:rPr>
          <w:bCs/>
          <w:snapToGrid/>
          <w:szCs w:val="24"/>
        </w:rPr>
        <w:t>Albania</w:t>
      </w:r>
      <w:proofErr w:type="spellEnd"/>
      <w:r w:rsidR="00EC34A9" w:rsidRPr="00BD63A4">
        <w:rPr>
          <w:sz w:val="22"/>
          <w:szCs w:val="22"/>
          <w:lang w:val="en-GB"/>
        </w:rPr>
        <w:t xml:space="preserve"> </w:t>
      </w:r>
      <w:r>
        <w:rPr>
          <w:sz w:val="22"/>
          <w:szCs w:val="22"/>
          <w:lang w:val="en-GB"/>
        </w:rPr>
        <w:t>“</w:t>
      </w:r>
    </w:p>
    <w:p w14:paraId="5D11CFE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F61636E" w14:textId="0327DAF9" w:rsidR="00D275AD" w:rsidRPr="00BD63A4" w:rsidRDefault="00EC34A9" w:rsidP="00FB0EFC">
      <w:pPr>
        <w:pStyle w:val="PRAGHeading2"/>
        <w:numPr>
          <w:ilvl w:val="0"/>
          <w:numId w:val="0"/>
        </w:numPr>
        <w:ind w:left="709"/>
        <w:jc w:val="both"/>
        <w:rPr>
          <w:sz w:val="22"/>
          <w:szCs w:val="22"/>
          <w:lang w:val="en-GB"/>
        </w:rPr>
      </w:pPr>
      <w:r>
        <w:rPr>
          <w:sz w:val="22"/>
          <w:szCs w:val="22"/>
          <w:lang w:val="en-GB"/>
        </w:rPr>
        <w:t xml:space="preserve">The project is </w:t>
      </w:r>
      <w:r w:rsidR="00D275AD" w:rsidRPr="00BD63A4">
        <w:rPr>
          <w:sz w:val="22"/>
          <w:szCs w:val="22"/>
          <w:lang w:val="en-GB"/>
        </w:rPr>
        <w:t xml:space="preserve">financed by the European Union. </w:t>
      </w:r>
    </w:p>
    <w:p w14:paraId="2630214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0298E05C" w14:textId="6901D80D" w:rsidR="00FB0EFC" w:rsidRDefault="009C65D6" w:rsidP="00FB0EFC">
      <w:pPr>
        <w:snapToGrid w:val="0"/>
        <w:ind w:left="360"/>
        <w:jc w:val="both"/>
        <w:rPr>
          <w:sz w:val="22"/>
          <w:szCs w:val="22"/>
          <w:lang w:val="en-GB"/>
        </w:rPr>
      </w:pPr>
      <w:r w:rsidRPr="00BD63A4">
        <w:rPr>
          <w:sz w:val="22"/>
          <w:szCs w:val="22"/>
        </w:rPr>
        <w:tab/>
      </w:r>
      <w:r w:rsidR="00812A1D">
        <w:rPr>
          <w:sz w:val="22"/>
          <w:szCs w:val="22"/>
        </w:rPr>
        <w:t xml:space="preserve">MUNICIPALITY OF BERAT </w:t>
      </w:r>
    </w:p>
    <w:p w14:paraId="3DE3DDCC" w14:textId="77777777" w:rsidR="00FB0EFC" w:rsidRDefault="00FB0EFC" w:rsidP="00FB0EFC">
      <w:pPr>
        <w:snapToGrid w:val="0"/>
        <w:ind w:left="360"/>
        <w:jc w:val="both"/>
        <w:rPr>
          <w:sz w:val="22"/>
          <w:szCs w:val="22"/>
          <w:lang w:val="en-GB"/>
        </w:rPr>
      </w:pPr>
    </w:p>
    <w:p w14:paraId="69C0B3AD" w14:textId="77777777" w:rsidR="00FB0EFC" w:rsidRDefault="00FB0EFC" w:rsidP="00FB0EFC">
      <w:pPr>
        <w:snapToGrid w:val="0"/>
        <w:ind w:left="360"/>
        <w:jc w:val="both"/>
        <w:rPr>
          <w:sz w:val="22"/>
          <w:szCs w:val="22"/>
          <w:lang w:val="en-GB"/>
        </w:rPr>
      </w:pPr>
    </w:p>
    <w:p w14:paraId="20B9D927" w14:textId="77777777" w:rsidR="00FB0EFC" w:rsidRDefault="00FB0EFC" w:rsidP="00FB0EFC">
      <w:pPr>
        <w:snapToGrid w:val="0"/>
        <w:ind w:left="360"/>
        <w:jc w:val="both"/>
        <w:rPr>
          <w:sz w:val="22"/>
          <w:szCs w:val="22"/>
          <w:lang w:val="en-GB"/>
        </w:rPr>
      </w:pPr>
    </w:p>
    <w:p w14:paraId="14CC76D3" w14:textId="77777777" w:rsidR="00FB0EFC" w:rsidRDefault="00FB0EFC" w:rsidP="00FB0EFC">
      <w:pPr>
        <w:snapToGrid w:val="0"/>
        <w:ind w:left="360"/>
        <w:jc w:val="both"/>
        <w:rPr>
          <w:sz w:val="22"/>
          <w:szCs w:val="22"/>
          <w:lang w:val="en-GB"/>
        </w:rPr>
      </w:pPr>
    </w:p>
    <w:p w14:paraId="02F74556" w14:textId="77777777" w:rsidR="00FB0EFC" w:rsidRDefault="00FB0EFC" w:rsidP="00FB0EFC">
      <w:pPr>
        <w:snapToGrid w:val="0"/>
        <w:ind w:left="360"/>
        <w:jc w:val="both"/>
        <w:rPr>
          <w:sz w:val="22"/>
          <w:szCs w:val="22"/>
          <w:lang w:val="en-GB"/>
        </w:rPr>
      </w:pPr>
    </w:p>
    <w:p w14:paraId="632BAF0F" w14:textId="77777777" w:rsidR="00FB0EFC" w:rsidRDefault="00FB0EFC" w:rsidP="00FB0EFC">
      <w:pPr>
        <w:snapToGrid w:val="0"/>
        <w:ind w:left="360"/>
        <w:jc w:val="both"/>
        <w:rPr>
          <w:sz w:val="22"/>
          <w:szCs w:val="22"/>
          <w:lang w:val="en-GB"/>
        </w:rPr>
      </w:pPr>
    </w:p>
    <w:p w14:paraId="1DE7C2D9" w14:textId="77777777" w:rsidR="00FB0EFC" w:rsidRDefault="00FB0EFC" w:rsidP="00FB0EFC">
      <w:pPr>
        <w:snapToGrid w:val="0"/>
        <w:ind w:left="360"/>
        <w:jc w:val="both"/>
        <w:rPr>
          <w:sz w:val="22"/>
          <w:szCs w:val="22"/>
          <w:lang w:val="en-GB"/>
        </w:rPr>
      </w:pPr>
    </w:p>
    <w:p w14:paraId="5F2AB4A1" w14:textId="77777777" w:rsidR="00FB0EFC" w:rsidRDefault="00FB0EFC" w:rsidP="00FB0EFC">
      <w:pPr>
        <w:snapToGrid w:val="0"/>
        <w:ind w:left="360"/>
        <w:jc w:val="both"/>
        <w:rPr>
          <w:sz w:val="22"/>
          <w:szCs w:val="22"/>
          <w:lang w:val="en-GB"/>
        </w:rPr>
      </w:pPr>
    </w:p>
    <w:p w14:paraId="04606E5E" w14:textId="77777777" w:rsidR="00FB0EFC" w:rsidRDefault="00FB0EFC" w:rsidP="00FB0EFC">
      <w:pPr>
        <w:snapToGrid w:val="0"/>
        <w:ind w:left="360"/>
        <w:jc w:val="both"/>
        <w:rPr>
          <w:sz w:val="22"/>
          <w:szCs w:val="22"/>
          <w:lang w:val="en-GB"/>
        </w:rPr>
      </w:pPr>
    </w:p>
    <w:p w14:paraId="0276B284" w14:textId="77777777" w:rsidR="00FB0EFC" w:rsidRDefault="00FB0EFC" w:rsidP="00FB0EFC">
      <w:pPr>
        <w:snapToGrid w:val="0"/>
        <w:ind w:left="360"/>
        <w:jc w:val="both"/>
        <w:rPr>
          <w:sz w:val="22"/>
          <w:szCs w:val="22"/>
          <w:lang w:val="en-GB"/>
        </w:rPr>
      </w:pPr>
    </w:p>
    <w:p w14:paraId="1EAB256E" w14:textId="77777777" w:rsidR="00FB0EFC" w:rsidRDefault="00FB0EFC" w:rsidP="00FB0EFC">
      <w:pPr>
        <w:snapToGrid w:val="0"/>
        <w:ind w:left="360"/>
        <w:jc w:val="both"/>
        <w:rPr>
          <w:sz w:val="22"/>
          <w:szCs w:val="22"/>
          <w:lang w:val="en-GB"/>
        </w:rPr>
      </w:pPr>
    </w:p>
    <w:p w14:paraId="26C7BEA3" w14:textId="77777777" w:rsidR="00FB0EFC" w:rsidRDefault="00FB0EFC" w:rsidP="00FB0EFC">
      <w:pPr>
        <w:snapToGrid w:val="0"/>
        <w:ind w:left="360"/>
        <w:jc w:val="both"/>
        <w:rPr>
          <w:sz w:val="22"/>
          <w:szCs w:val="22"/>
          <w:lang w:val="en-GB"/>
        </w:rPr>
      </w:pPr>
    </w:p>
    <w:p w14:paraId="57E93D3E" w14:textId="0D42D2DC" w:rsidR="002139C6" w:rsidRPr="00DD2F41" w:rsidRDefault="009634A0">
      <w:pPr>
        <w:ind w:left="360"/>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9776" behindDoc="0" locked="0" layoutInCell="0" allowOverlap="1" wp14:anchorId="0BAF1E3B" wp14:editId="789F2B08">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1573"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xAVQIAALI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" o:allowincell="f" strokecolor="#d4d4d4" strokeweight="1.75pt">
                <v:shadow on="t" offset="0,-1pt"/>
              </v:line>
            </w:pict>
          </mc:Fallback>
        </mc:AlternateContent>
      </w:r>
      <w:r w:rsidR="002139C6" w:rsidRPr="00DD2F41">
        <w:rPr>
          <w:rStyle w:val="Strong"/>
          <w:sz w:val="22"/>
          <w:szCs w:val="22"/>
          <w:lang w:val="en-GB"/>
        </w:rPr>
        <w:t>CONTRACT SPECIFICATIONS</w:t>
      </w:r>
    </w:p>
    <w:p w14:paraId="29DF5F0C" w14:textId="77777777" w:rsidR="00D62A71" w:rsidRDefault="00D62A71" w:rsidP="00805EFA">
      <w:pPr>
        <w:pStyle w:val="PRAGHeading2"/>
        <w:rPr>
          <w:rStyle w:val="Strong"/>
          <w:sz w:val="22"/>
          <w:szCs w:val="22"/>
          <w:lang w:val="en-GB"/>
        </w:rPr>
      </w:pPr>
      <w:r>
        <w:rPr>
          <w:rStyle w:val="Strong"/>
          <w:sz w:val="22"/>
          <w:szCs w:val="22"/>
          <w:lang w:val="en-GB"/>
        </w:rPr>
        <w:lastRenderedPageBreak/>
        <w:t>Nature of contract</w:t>
      </w:r>
    </w:p>
    <w:p w14:paraId="794E1BEF"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r w:rsidR="00FB0EFC">
        <w:rPr>
          <w:rStyle w:val="Strong"/>
          <w:b w:val="0"/>
          <w:sz w:val="22"/>
          <w:szCs w:val="22"/>
          <w:lang w:val="en-GB"/>
        </w:rPr>
        <w:t xml:space="preserve"> Contract</w:t>
      </w:r>
    </w:p>
    <w:p w14:paraId="44929217"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45FB5658" w14:textId="77777777" w:rsidR="00FB0EFC" w:rsidRDefault="00FB0EFC" w:rsidP="00FB0EFC">
      <w:pPr>
        <w:pStyle w:val="PRAGHeading2"/>
        <w:numPr>
          <w:ilvl w:val="0"/>
          <w:numId w:val="0"/>
        </w:numPr>
        <w:ind w:left="284"/>
        <w:rPr>
          <w:snapToGrid/>
        </w:rPr>
      </w:pPr>
      <w:r w:rsidRPr="004A7F88">
        <w:rPr>
          <w:snapToGrid/>
        </w:rPr>
        <w:t xml:space="preserve">The situation </w:t>
      </w:r>
      <w:proofErr w:type="spellStart"/>
      <w:r w:rsidRPr="004A7F88">
        <w:rPr>
          <w:snapToGrid/>
        </w:rPr>
        <w:t>with</w:t>
      </w:r>
      <w:proofErr w:type="spellEnd"/>
      <w:r w:rsidRPr="004A7F88">
        <w:rPr>
          <w:snapToGrid/>
        </w:rPr>
        <w:t xml:space="preserve"> the </w:t>
      </w:r>
      <w:proofErr w:type="spellStart"/>
      <w:r w:rsidRPr="004A7F88">
        <w:rPr>
          <w:snapToGrid/>
        </w:rPr>
        <w:t>fire</w:t>
      </w:r>
      <w:proofErr w:type="spellEnd"/>
      <w:r w:rsidRPr="004A7F88">
        <w:rPr>
          <w:snapToGrid/>
        </w:rPr>
        <w:t xml:space="preserve"> station, </w:t>
      </w:r>
      <w:proofErr w:type="spellStart"/>
      <w:r w:rsidRPr="004A7F88">
        <w:rPr>
          <w:snapToGrid/>
        </w:rPr>
        <w:t>firefighters</w:t>
      </w:r>
      <w:proofErr w:type="spellEnd"/>
      <w:r w:rsidRPr="004A7F88">
        <w:rPr>
          <w:snapToGrid/>
        </w:rPr>
        <w:t xml:space="preserve">’ </w:t>
      </w:r>
      <w:proofErr w:type="spellStart"/>
      <w:r w:rsidRPr="004A7F88">
        <w:rPr>
          <w:snapToGrid/>
        </w:rPr>
        <w:t>equipment</w:t>
      </w:r>
      <w:proofErr w:type="spellEnd"/>
      <w:r w:rsidRPr="004A7F88">
        <w:rPr>
          <w:snapToGrid/>
        </w:rPr>
        <w:t xml:space="preserve"> and </w:t>
      </w:r>
      <w:proofErr w:type="spellStart"/>
      <w:r w:rsidRPr="004A7F88">
        <w:rPr>
          <w:snapToGrid/>
        </w:rPr>
        <w:t>vehicles</w:t>
      </w:r>
      <w:proofErr w:type="spellEnd"/>
      <w:r w:rsidRPr="004A7F88">
        <w:rPr>
          <w:snapToGrid/>
        </w:rPr>
        <w:t xml:space="preserve"> </w:t>
      </w:r>
      <w:proofErr w:type="spellStart"/>
      <w:r w:rsidRPr="004A7F88">
        <w:rPr>
          <w:snapToGrid/>
        </w:rPr>
        <w:t>makes</w:t>
      </w:r>
      <w:proofErr w:type="spellEnd"/>
      <w:r w:rsidRPr="004A7F88">
        <w:rPr>
          <w:snapToGrid/>
        </w:rPr>
        <w:t xml:space="preserve"> </w:t>
      </w:r>
      <w:proofErr w:type="spellStart"/>
      <w:r w:rsidRPr="004A7F88">
        <w:rPr>
          <w:snapToGrid/>
        </w:rPr>
        <w:t>it</w:t>
      </w:r>
      <w:proofErr w:type="spellEnd"/>
      <w:r w:rsidRPr="004A7F88">
        <w:rPr>
          <w:snapToGrid/>
        </w:rPr>
        <w:t xml:space="preserve"> impossible to </w:t>
      </w:r>
      <w:proofErr w:type="spellStart"/>
      <w:r w:rsidRPr="004A7F88">
        <w:rPr>
          <w:snapToGrid/>
        </w:rPr>
        <w:t>cope</w:t>
      </w:r>
      <w:proofErr w:type="spellEnd"/>
      <w:r w:rsidRPr="004A7F88">
        <w:rPr>
          <w:snapToGrid/>
        </w:rPr>
        <w:t xml:space="preserve"> </w:t>
      </w:r>
      <w:proofErr w:type="spellStart"/>
      <w:r w:rsidRPr="004A7F88">
        <w:rPr>
          <w:snapToGrid/>
        </w:rPr>
        <w:t>with</w:t>
      </w:r>
      <w:proofErr w:type="spellEnd"/>
      <w:r w:rsidRPr="004A7F88">
        <w:rPr>
          <w:snapToGrid/>
        </w:rPr>
        <w:t xml:space="preserve"> </w:t>
      </w:r>
      <w:proofErr w:type="spellStart"/>
      <w:r w:rsidRPr="004A7F88">
        <w:rPr>
          <w:snapToGrid/>
        </w:rPr>
        <w:t>such</w:t>
      </w:r>
      <w:proofErr w:type="spellEnd"/>
      <w:r w:rsidRPr="004A7F88">
        <w:rPr>
          <w:snapToGrid/>
        </w:rPr>
        <w:t xml:space="preserve"> </w:t>
      </w:r>
      <w:proofErr w:type="spellStart"/>
      <w:r w:rsidRPr="004A7F88">
        <w:rPr>
          <w:snapToGrid/>
        </w:rPr>
        <w:t>risks</w:t>
      </w:r>
      <w:proofErr w:type="spellEnd"/>
      <w:r w:rsidRPr="004A7F88">
        <w:rPr>
          <w:snapToGrid/>
        </w:rPr>
        <w:t xml:space="preserve">. The action </w:t>
      </w:r>
      <w:proofErr w:type="spellStart"/>
      <w:r w:rsidRPr="004A7F88">
        <w:rPr>
          <w:snapToGrid/>
        </w:rPr>
        <w:t>aims</w:t>
      </w:r>
      <w:proofErr w:type="spellEnd"/>
      <w:r w:rsidRPr="004A7F88">
        <w:rPr>
          <w:snapToGrid/>
        </w:rPr>
        <w:t xml:space="preserve"> to boost the </w:t>
      </w:r>
      <w:proofErr w:type="spellStart"/>
      <w:r w:rsidRPr="004A7F88">
        <w:rPr>
          <w:snapToGrid/>
        </w:rPr>
        <w:t>Albania’s</w:t>
      </w:r>
      <w:proofErr w:type="spellEnd"/>
      <w:r w:rsidRPr="004A7F88">
        <w:rPr>
          <w:snapToGrid/>
        </w:rPr>
        <w:t xml:space="preserve"> </w:t>
      </w:r>
      <w:proofErr w:type="spellStart"/>
      <w:r w:rsidRPr="004A7F88">
        <w:rPr>
          <w:snapToGrid/>
        </w:rPr>
        <w:t>capacity</w:t>
      </w:r>
      <w:proofErr w:type="spellEnd"/>
      <w:r w:rsidRPr="004A7F88">
        <w:rPr>
          <w:snapToGrid/>
        </w:rPr>
        <w:t xml:space="preserve"> to deal </w:t>
      </w:r>
      <w:proofErr w:type="spellStart"/>
      <w:r w:rsidRPr="004A7F88">
        <w:rPr>
          <w:snapToGrid/>
        </w:rPr>
        <w:t>with</w:t>
      </w:r>
      <w:proofErr w:type="spellEnd"/>
      <w:r w:rsidRPr="004A7F88">
        <w:rPr>
          <w:snapToGrid/>
        </w:rPr>
        <w:t xml:space="preserve"> </w:t>
      </w:r>
      <w:proofErr w:type="spellStart"/>
      <w:r w:rsidRPr="004A7F88">
        <w:rPr>
          <w:snapToGrid/>
        </w:rPr>
        <w:t>forest</w:t>
      </w:r>
      <w:proofErr w:type="spellEnd"/>
      <w:r w:rsidRPr="004A7F88">
        <w:rPr>
          <w:snapToGrid/>
        </w:rPr>
        <w:t xml:space="preserve"> </w:t>
      </w:r>
      <w:proofErr w:type="spellStart"/>
      <w:r w:rsidRPr="004A7F88">
        <w:rPr>
          <w:snapToGrid/>
        </w:rPr>
        <w:t>fires</w:t>
      </w:r>
      <w:proofErr w:type="spellEnd"/>
      <w:r w:rsidRPr="004A7F88">
        <w:rPr>
          <w:snapToGrid/>
        </w:rPr>
        <w:t xml:space="preserve">. The training </w:t>
      </w:r>
      <w:proofErr w:type="spellStart"/>
      <w:r w:rsidRPr="004A7F88">
        <w:rPr>
          <w:snapToGrid/>
        </w:rPr>
        <w:t>activities</w:t>
      </w:r>
      <w:proofErr w:type="spellEnd"/>
      <w:r w:rsidRPr="004A7F88">
        <w:rPr>
          <w:snapToGrid/>
        </w:rPr>
        <w:t xml:space="preserve"> </w:t>
      </w:r>
      <w:proofErr w:type="spellStart"/>
      <w:r w:rsidRPr="004A7F88">
        <w:rPr>
          <w:snapToGrid/>
        </w:rPr>
        <w:t>will</w:t>
      </w:r>
      <w:proofErr w:type="spellEnd"/>
      <w:r w:rsidRPr="004A7F88">
        <w:rPr>
          <w:snapToGrid/>
        </w:rPr>
        <w:t xml:space="preserve"> </w:t>
      </w:r>
      <w:proofErr w:type="spellStart"/>
      <w:r w:rsidRPr="004A7F88">
        <w:rPr>
          <w:snapToGrid/>
        </w:rPr>
        <w:t>be</w:t>
      </w:r>
      <w:proofErr w:type="spellEnd"/>
      <w:r w:rsidRPr="004A7F88">
        <w:rPr>
          <w:snapToGrid/>
        </w:rPr>
        <w:t xml:space="preserve"> </w:t>
      </w:r>
      <w:proofErr w:type="spellStart"/>
      <w:r w:rsidRPr="004A7F88">
        <w:rPr>
          <w:snapToGrid/>
        </w:rPr>
        <w:t>designed</w:t>
      </w:r>
      <w:proofErr w:type="spellEnd"/>
      <w:r w:rsidRPr="004A7F88">
        <w:rPr>
          <w:snapToGrid/>
        </w:rPr>
        <w:t xml:space="preserve"> as </w:t>
      </w:r>
      <w:proofErr w:type="spellStart"/>
      <w:r w:rsidRPr="004A7F88">
        <w:rPr>
          <w:snapToGrid/>
        </w:rPr>
        <w:t>prevention</w:t>
      </w:r>
      <w:proofErr w:type="spellEnd"/>
      <w:r w:rsidRPr="004A7F88">
        <w:rPr>
          <w:snapToGrid/>
        </w:rPr>
        <w:t xml:space="preserve"> and </w:t>
      </w:r>
      <w:proofErr w:type="spellStart"/>
      <w:r w:rsidRPr="004A7F88">
        <w:rPr>
          <w:snapToGrid/>
        </w:rPr>
        <w:t>preparedness</w:t>
      </w:r>
      <w:proofErr w:type="spellEnd"/>
      <w:r w:rsidRPr="004A7F88">
        <w:rPr>
          <w:snapToGrid/>
        </w:rPr>
        <w:t xml:space="preserve"> </w:t>
      </w:r>
      <w:proofErr w:type="spellStart"/>
      <w:r w:rsidRPr="004A7F88">
        <w:rPr>
          <w:snapToGrid/>
        </w:rPr>
        <w:t>exercises</w:t>
      </w:r>
      <w:proofErr w:type="spellEnd"/>
      <w:r w:rsidRPr="004A7F88">
        <w:rPr>
          <w:snapToGrid/>
        </w:rPr>
        <w:t xml:space="preserve"> to help boost the </w:t>
      </w:r>
      <w:proofErr w:type="spellStart"/>
      <w:r w:rsidRPr="004A7F88">
        <w:rPr>
          <w:snapToGrid/>
        </w:rPr>
        <w:t>capacities</w:t>
      </w:r>
      <w:proofErr w:type="spellEnd"/>
      <w:r w:rsidRPr="004A7F88">
        <w:rPr>
          <w:snapToGrid/>
        </w:rPr>
        <w:t xml:space="preserve"> of the civil emergency</w:t>
      </w:r>
      <w:r>
        <w:rPr>
          <w:snapToGrid/>
        </w:rPr>
        <w:t>.</w:t>
      </w:r>
    </w:p>
    <w:p w14:paraId="562C4D94" w14:textId="77777777" w:rsidR="00FB0EFC" w:rsidRDefault="00FB0EFC" w:rsidP="00FB0EFC">
      <w:pPr>
        <w:pStyle w:val="PRAGHeading2"/>
        <w:numPr>
          <w:ilvl w:val="0"/>
          <w:numId w:val="0"/>
        </w:numPr>
        <w:ind w:left="284"/>
        <w:rPr>
          <w:snapToGrid/>
        </w:rPr>
      </w:pPr>
      <w:r>
        <w:rPr>
          <w:snapToGrid/>
        </w:rPr>
        <w:t xml:space="preserve">The Project </w:t>
      </w:r>
      <w:proofErr w:type="spellStart"/>
      <w:r>
        <w:rPr>
          <w:snapToGrid/>
        </w:rPr>
        <w:t>consist</w:t>
      </w:r>
      <w:proofErr w:type="spellEnd"/>
      <w:r>
        <w:rPr>
          <w:snapToGrid/>
        </w:rPr>
        <w:t xml:space="preserve"> in </w:t>
      </w:r>
      <w:proofErr w:type="spellStart"/>
      <w:r>
        <w:rPr>
          <w:snapToGrid/>
        </w:rPr>
        <w:t>re-construction</w:t>
      </w:r>
      <w:proofErr w:type="spellEnd"/>
      <w:r>
        <w:rPr>
          <w:snapToGrid/>
        </w:rPr>
        <w:t xml:space="preserve"> of the </w:t>
      </w:r>
      <w:proofErr w:type="spellStart"/>
      <w:r>
        <w:rPr>
          <w:snapToGrid/>
        </w:rPr>
        <w:t>existing</w:t>
      </w:r>
      <w:proofErr w:type="spellEnd"/>
      <w:r>
        <w:rPr>
          <w:snapToGrid/>
        </w:rPr>
        <w:t xml:space="preserve"> </w:t>
      </w:r>
      <w:proofErr w:type="spellStart"/>
      <w:r>
        <w:rPr>
          <w:snapToGrid/>
        </w:rPr>
        <w:t>fire-fighting</w:t>
      </w:r>
      <w:proofErr w:type="spellEnd"/>
      <w:r>
        <w:rPr>
          <w:snapToGrid/>
        </w:rPr>
        <w:t xml:space="preserve"> stations </w:t>
      </w:r>
      <w:proofErr w:type="spellStart"/>
      <w:r>
        <w:rPr>
          <w:snapToGrid/>
        </w:rPr>
        <w:t>including</w:t>
      </w:r>
      <w:proofErr w:type="spellEnd"/>
      <w:r>
        <w:rPr>
          <w:snapToGrid/>
        </w:rPr>
        <w:t xml:space="preserve"> civil, </w:t>
      </w:r>
      <w:proofErr w:type="spellStart"/>
      <w:r>
        <w:rPr>
          <w:snapToGrid/>
        </w:rPr>
        <w:t>mechanical</w:t>
      </w:r>
      <w:proofErr w:type="spellEnd"/>
      <w:r>
        <w:rPr>
          <w:snapToGrid/>
        </w:rPr>
        <w:t xml:space="preserve"> and </w:t>
      </w:r>
      <w:proofErr w:type="spellStart"/>
      <w:r>
        <w:rPr>
          <w:snapToGrid/>
        </w:rPr>
        <w:t>electrical</w:t>
      </w:r>
      <w:proofErr w:type="spellEnd"/>
      <w:r>
        <w:rPr>
          <w:snapToGrid/>
        </w:rPr>
        <w:t xml:space="preserve"> </w:t>
      </w:r>
      <w:proofErr w:type="spellStart"/>
      <w:r>
        <w:rPr>
          <w:snapToGrid/>
        </w:rPr>
        <w:t>works</w:t>
      </w:r>
      <w:proofErr w:type="spellEnd"/>
      <w:r>
        <w:rPr>
          <w:snapToGrid/>
        </w:rPr>
        <w:t xml:space="preserve">. It </w:t>
      </w:r>
      <w:proofErr w:type="spellStart"/>
      <w:r>
        <w:rPr>
          <w:snapToGrid/>
        </w:rPr>
        <w:t>also</w:t>
      </w:r>
      <w:proofErr w:type="spellEnd"/>
      <w:r>
        <w:rPr>
          <w:snapToGrid/>
        </w:rPr>
        <w:t xml:space="preserve"> impacts the </w:t>
      </w:r>
      <w:proofErr w:type="spellStart"/>
      <w:r>
        <w:rPr>
          <w:snapToGrid/>
        </w:rPr>
        <w:t>external</w:t>
      </w:r>
      <w:proofErr w:type="spellEnd"/>
      <w:r>
        <w:rPr>
          <w:snapToGrid/>
        </w:rPr>
        <w:t xml:space="preserve"> areas of the </w:t>
      </w:r>
      <w:proofErr w:type="spellStart"/>
      <w:r>
        <w:rPr>
          <w:snapToGrid/>
        </w:rPr>
        <w:t>fire-fighting</w:t>
      </w:r>
      <w:proofErr w:type="spellEnd"/>
      <w:r>
        <w:rPr>
          <w:snapToGrid/>
        </w:rPr>
        <w:t xml:space="preserve"> Station </w:t>
      </w:r>
      <w:proofErr w:type="spellStart"/>
      <w:r>
        <w:rPr>
          <w:snapToGrid/>
        </w:rPr>
        <w:t>with</w:t>
      </w:r>
      <w:proofErr w:type="spellEnd"/>
      <w:r>
        <w:rPr>
          <w:snapToGrid/>
        </w:rPr>
        <w:t xml:space="preserve"> green area and </w:t>
      </w:r>
      <w:proofErr w:type="spellStart"/>
      <w:r>
        <w:rPr>
          <w:snapToGrid/>
        </w:rPr>
        <w:t>boundaries</w:t>
      </w:r>
      <w:proofErr w:type="spellEnd"/>
      <w:r>
        <w:rPr>
          <w:snapToGrid/>
        </w:rPr>
        <w:t xml:space="preserve"> to </w:t>
      </w:r>
      <w:proofErr w:type="spellStart"/>
      <w:r>
        <w:rPr>
          <w:snapToGrid/>
        </w:rPr>
        <w:t>protect</w:t>
      </w:r>
      <w:proofErr w:type="spellEnd"/>
      <w:r>
        <w:rPr>
          <w:snapToGrid/>
        </w:rPr>
        <w:t xml:space="preserve"> the </w:t>
      </w:r>
      <w:proofErr w:type="spellStart"/>
      <w:r>
        <w:rPr>
          <w:snapToGrid/>
        </w:rPr>
        <w:t>existing</w:t>
      </w:r>
      <w:proofErr w:type="spellEnd"/>
      <w:r>
        <w:rPr>
          <w:snapToGrid/>
        </w:rPr>
        <w:t xml:space="preserve"> </w:t>
      </w:r>
      <w:proofErr w:type="spellStart"/>
      <w:r>
        <w:rPr>
          <w:snapToGrid/>
        </w:rPr>
        <w:t>equipment</w:t>
      </w:r>
      <w:proofErr w:type="spellEnd"/>
      <w:r>
        <w:rPr>
          <w:snapToGrid/>
        </w:rPr>
        <w:t>.</w:t>
      </w:r>
    </w:p>
    <w:p w14:paraId="7CA8F7E9" w14:textId="77777777" w:rsidR="00FB0EFC" w:rsidRDefault="00FB0EFC" w:rsidP="00FB0EFC">
      <w:pPr>
        <w:pStyle w:val="PRAGHeading2"/>
        <w:numPr>
          <w:ilvl w:val="0"/>
          <w:numId w:val="0"/>
        </w:numPr>
        <w:ind w:left="284"/>
        <w:rPr>
          <w:snapToGrid/>
        </w:rPr>
      </w:pPr>
      <w:r w:rsidRPr="004A7F88">
        <w:rPr>
          <w:snapToGrid/>
        </w:rPr>
        <w:t xml:space="preserve">At the </w:t>
      </w:r>
      <w:proofErr w:type="spellStart"/>
      <w:r w:rsidRPr="004A7F88">
        <w:rPr>
          <w:snapToGrid/>
        </w:rPr>
        <w:t>same</w:t>
      </w:r>
      <w:proofErr w:type="spellEnd"/>
      <w:r w:rsidRPr="004A7F88">
        <w:rPr>
          <w:snapToGrid/>
        </w:rPr>
        <w:t xml:space="preserve"> time, the </w:t>
      </w:r>
      <w:proofErr w:type="spellStart"/>
      <w:r w:rsidRPr="004A7F88">
        <w:rPr>
          <w:snapToGrid/>
        </w:rPr>
        <w:t>organization</w:t>
      </w:r>
      <w:proofErr w:type="spellEnd"/>
      <w:r w:rsidRPr="004A7F88">
        <w:rPr>
          <w:snapToGrid/>
        </w:rPr>
        <w:t xml:space="preserve"> and </w:t>
      </w:r>
      <w:proofErr w:type="spellStart"/>
      <w:r w:rsidRPr="004A7F88">
        <w:rPr>
          <w:snapToGrid/>
        </w:rPr>
        <w:t>implementation</w:t>
      </w:r>
      <w:proofErr w:type="spellEnd"/>
      <w:r w:rsidRPr="004A7F88">
        <w:rPr>
          <w:snapToGrid/>
        </w:rPr>
        <w:t xml:space="preserve"> of </w:t>
      </w:r>
      <w:proofErr w:type="spellStart"/>
      <w:r w:rsidRPr="004A7F88">
        <w:rPr>
          <w:snapToGrid/>
        </w:rPr>
        <w:t>this</w:t>
      </w:r>
      <w:proofErr w:type="spellEnd"/>
      <w:r w:rsidRPr="004A7F88">
        <w:rPr>
          <w:snapToGrid/>
        </w:rPr>
        <w:t xml:space="preserve"> program </w:t>
      </w:r>
      <w:proofErr w:type="spellStart"/>
      <w:r w:rsidRPr="004A7F88">
        <w:rPr>
          <w:snapToGrid/>
        </w:rPr>
        <w:t>with</w:t>
      </w:r>
      <w:proofErr w:type="spellEnd"/>
      <w:r w:rsidRPr="004A7F88">
        <w:rPr>
          <w:snapToGrid/>
        </w:rPr>
        <w:t xml:space="preserve"> the participation of Greek and </w:t>
      </w:r>
      <w:proofErr w:type="spellStart"/>
      <w:r w:rsidRPr="004A7F88">
        <w:rPr>
          <w:snapToGrid/>
        </w:rPr>
        <w:t>Albanian</w:t>
      </w:r>
      <w:proofErr w:type="spellEnd"/>
      <w:r w:rsidRPr="004A7F88">
        <w:rPr>
          <w:snapToGrid/>
        </w:rPr>
        <w:t xml:space="preserve"> </w:t>
      </w:r>
      <w:proofErr w:type="spellStart"/>
      <w:r w:rsidRPr="004A7F88">
        <w:rPr>
          <w:snapToGrid/>
        </w:rPr>
        <w:t>firefighters</w:t>
      </w:r>
      <w:proofErr w:type="spellEnd"/>
      <w:r w:rsidRPr="004A7F88">
        <w:rPr>
          <w:snapToGrid/>
        </w:rPr>
        <w:t xml:space="preserve"> </w:t>
      </w:r>
      <w:proofErr w:type="spellStart"/>
      <w:r w:rsidRPr="004A7F88">
        <w:rPr>
          <w:snapToGrid/>
        </w:rPr>
        <w:t>will</w:t>
      </w:r>
      <w:proofErr w:type="spellEnd"/>
      <w:r w:rsidRPr="004A7F88">
        <w:rPr>
          <w:snapToGrid/>
        </w:rPr>
        <w:t xml:space="preserve"> enable the exchange of know-how and good practices. It </w:t>
      </w:r>
      <w:proofErr w:type="spellStart"/>
      <w:r w:rsidRPr="004A7F88">
        <w:rPr>
          <w:snapToGrid/>
        </w:rPr>
        <w:t>will</w:t>
      </w:r>
      <w:proofErr w:type="spellEnd"/>
      <w:r w:rsidRPr="004A7F88">
        <w:rPr>
          <w:snapToGrid/>
        </w:rPr>
        <w:t xml:space="preserve"> </w:t>
      </w:r>
      <w:proofErr w:type="spellStart"/>
      <w:r w:rsidRPr="004A7F88">
        <w:rPr>
          <w:snapToGrid/>
        </w:rPr>
        <w:t>also</w:t>
      </w:r>
      <w:proofErr w:type="spellEnd"/>
      <w:r w:rsidRPr="004A7F88">
        <w:rPr>
          <w:snapToGrid/>
        </w:rPr>
        <w:t xml:space="preserve"> </w:t>
      </w:r>
      <w:proofErr w:type="spellStart"/>
      <w:r w:rsidRPr="004A7F88">
        <w:rPr>
          <w:snapToGrid/>
        </w:rPr>
        <w:t>contribute</w:t>
      </w:r>
      <w:proofErr w:type="spellEnd"/>
      <w:r w:rsidRPr="004A7F88">
        <w:rPr>
          <w:snapToGrid/>
        </w:rPr>
        <w:t xml:space="preserve"> to the </w:t>
      </w:r>
      <w:proofErr w:type="spellStart"/>
      <w:r w:rsidRPr="004A7F88">
        <w:rPr>
          <w:snapToGrid/>
        </w:rPr>
        <w:t>smooth</w:t>
      </w:r>
      <w:proofErr w:type="spellEnd"/>
      <w:r w:rsidRPr="004A7F88">
        <w:rPr>
          <w:snapToGrid/>
        </w:rPr>
        <w:t xml:space="preserve"> and effective </w:t>
      </w:r>
      <w:proofErr w:type="spellStart"/>
      <w:r w:rsidRPr="004A7F88">
        <w:rPr>
          <w:snapToGrid/>
        </w:rPr>
        <w:t>co-operation</w:t>
      </w:r>
      <w:proofErr w:type="spellEnd"/>
      <w:r w:rsidRPr="004A7F88">
        <w:rPr>
          <w:snapToGrid/>
        </w:rPr>
        <w:t xml:space="preserve"> of the </w:t>
      </w:r>
      <w:proofErr w:type="spellStart"/>
      <w:r w:rsidRPr="004A7F88">
        <w:rPr>
          <w:snapToGrid/>
        </w:rPr>
        <w:t>two</w:t>
      </w:r>
      <w:proofErr w:type="spellEnd"/>
      <w:r w:rsidRPr="004A7F88">
        <w:rPr>
          <w:snapToGrid/>
        </w:rPr>
        <w:t xml:space="preserve"> countries' </w:t>
      </w:r>
      <w:proofErr w:type="spellStart"/>
      <w:r w:rsidRPr="004A7F88">
        <w:rPr>
          <w:snapToGrid/>
        </w:rPr>
        <w:t>fire</w:t>
      </w:r>
      <w:proofErr w:type="spellEnd"/>
      <w:r w:rsidRPr="004A7F88">
        <w:rPr>
          <w:snapToGrid/>
        </w:rPr>
        <w:t xml:space="preserve"> services in </w:t>
      </w:r>
      <w:proofErr w:type="spellStart"/>
      <w:r w:rsidRPr="004A7F88">
        <w:rPr>
          <w:snapToGrid/>
        </w:rPr>
        <w:t>forest</w:t>
      </w:r>
      <w:proofErr w:type="spellEnd"/>
      <w:r w:rsidRPr="004A7F88">
        <w:rPr>
          <w:snapToGrid/>
        </w:rPr>
        <w:t xml:space="preserve"> </w:t>
      </w:r>
      <w:proofErr w:type="spellStart"/>
      <w:r w:rsidRPr="004A7F88">
        <w:rPr>
          <w:snapToGrid/>
        </w:rPr>
        <w:t>fires</w:t>
      </w:r>
      <w:proofErr w:type="spellEnd"/>
      <w:r w:rsidRPr="004A7F88">
        <w:rPr>
          <w:snapToGrid/>
        </w:rPr>
        <w:t xml:space="preserve"> </w:t>
      </w:r>
      <w:proofErr w:type="spellStart"/>
      <w:r w:rsidRPr="004A7F88">
        <w:rPr>
          <w:snapToGrid/>
        </w:rPr>
        <w:t>occurring</w:t>
      </w:r>
      <w:proofErr w:type="spellEnd"/>
      <w:r w:rsidRPr="004A7F88">
        <w:rPr>
          <w:snapToGrid/>
        </w:rPr>
        <w:t xml:space="preserve"> on the Greek-</w:t>
      </w:r>
      <w:proofErr w:type="spellStart"/>
      <w:r w:rsidRPr="004A7F88">
        <w:rPr>
          <w:snapToGrid/>
        </w:rPr>
        <w:t>Albanian</w:t>
      </w:r>
      <w:proofErr w:type="spellEnd"/>
      <w:r w:rsidRPr="004A7F88">
        <w:rPr>
          <w:snapToGrid/>
        </w:rPr>
        <w:t xml:space="preserve"> border.</w:t>
      </w:r>
    </w:p>
    <w:p w14:paraId="793B9AFB" w14:textId="77777777" w:rsidR="00B24E1F" w:rsidRPr="00DD2F41" w:rsidRDefault="00B24E1F" w:rsidP="00B24E1F">
      <w:pPr>
        <w:pStyle w:val="PRAGHeading2"/>
        <w:rPr>
          <w:rStyle w:val="Strong"/>
          <w:sz w:val="22"/>
          <w:szCs w:val="22"/>
          <w:lang w:val="en-GB"/>
        </w:rPr>
      </w:pPr>
      <w:r>
        <w:rPr>
          <w:rStyle w:val="Strong"/>
          <w:sz w:val="22"/>
          <w:szCs w:val="22"/>
          <w:lang w:val="en-GB"/>
        </w:rPr>
        <w:t>Provisional commencement date of the contract</w:t>
      </w:r>
    </w:p>
    <w:p w14:paraId="7EB57A67" w14:textId="5E54CA53" w:rsidR="00B24E1F" w:rsidRPr="002E09EF" w:rsidRDefault="00E0169C" w:rsidP="00B24E1F">
      <w:pPr>
        <w:ind w:left="709"/>
        <w:rPr>
          <w:sz w:val="22"/>
          <w:szCs w:val="22"/>
          <w:lang w:val="en-GB"/>
        </w:rPr>
      </w:pPr>
      <w:r>
        <w:rPr>
          <w:sz w:val="22"/>
          <w:szCs w:val="22"/>
          <w:lang w:val="en-GB"/>
        </w:rPr>
        <w:t>December 2020</w:t>
      </w:r>
    </w:p>
    <w:p w14:paraId="1325BEED"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2A1A472A" w14:textId="7F08087E" w:rsidR="002E09EF" w:rsidRPr="002E09EF" w:rsidRDefault="00E0169C" w:rsidP="002E09EF">
      <w:pPr>
        <w:ind w:left="709"/>
        <w:rPr>
          <w:sz w:val="22"/>
          <w:szCs w:val="22"/>
          <w:lang w:val="en-GB"/>
        </w:rPr>
      </w:pPr>
      <w:r>
        <w:rPr>
          <w:sz w:val="22"/>
          <w:szCs w:val="22"/>
          <w:lang w:val="en-GB"/>
        </w:rPr>
        <w:t xml:space="preserve">6 months </w:t>
      </w:r>
    </w:p>
    <w:p w14:paraId="4D28F185" w14:textId="77777777" w:rsidR="00B24E1F" w:rsidRDefault="00B24E1F" w:rsidP="00D62A71">
      <w:pPr>
        <w:ind w:left="709"/>
        <w:rPr>
          <w:sz w:val="22"/>
          <w:szCs w:val="22"/>
          <w:lang w:val="en-GB"/>
        </w:rPr>
      </w:pPr>
    </w:p>
    <w:p w14:paraId="36C65E4C" w14:textId="77777777" w:rsidR="00FB0EFC" w:rsidRDefault="00FB0EFC" w:rsidP="00D62A71">
      <w:pPr>
        <w:ind w:left="709"/>
        <w:rPr>
          <w:sz w:val="22"/>
          <w:szCs w:val="22"/>
          <w:lang w:val="en-GB"/>
        </w:rPr>
      </w:pPr>
    </w:p>
    <w:p w14:paraId="731C616C" w14:textId="77777777" w:rsidR="00FB0EFC" w:rsidRDefault="00FB0EFC" w:rsidP="00D62A71">
      <w:pPr>
        <w:ind w:left="709"/>
        <w:rPr>
          <w:sz w:val="22"/>
          <w:szCs w:val="22"/>
          <w:lang w:val="en-GB"/>
        </w:rPr>
      </w:pPr>
    </w:p>
    <w:p w14:paraId="22D267F1" w14:textId="77777777" w:rsidR="00FB0EFC" w:rsidRDefault="00FB0EFC" w:rsidP="00D62A71">
      <w:pPr>
        <w:ind w:left="709"/>
        <w:rPr>
          <w:sz w:val="22"/>
          <w:szCs w:val="22"/>
          <w:lang w:val="en-GB"/>
        </w:rPr>
      </w:pPr>
    </w:p>
    <w:p w14:paraId="7CEA5E31" w14:textId="77777777" w:rsidR="00FB0EFC" w:rsidRDefault="00FB0EFC" w:rsidP="00D62A71">
      <w:pPr>
        <w:ind w:left="709"/>
        <w:rPr>
          <w:sz w:val="22"/>
          <w:szCs w:val="22"/>
          <w:lang w:val="en-GB"/>
        </w:rPr>
      </w:pPr>
    </w:p>
    <w:p w14:paraId="462C6F3E" w14:textId="77777777" w:rsidR="00FB0EFC" w:rsidRDefault="00FB0EFC" w:rsidP="00D62A71">
      <w:pPr>
        <w:ind w:left="709"/>
        <w:rPr>
          <w:sz w:val="22"/>
          <w:szCs w:val="22"/>
          <w:lang w:val="en-GB"/>
        </w:rPr>
      </w:pPr>
    </w:p>
    <w:p w14:paraId="31B477AA" w14:textId="77777777" w:rsidR="00FB0EFC" w:rsidRDefault="00FB0EFC" w:rsidP="00D62A71">
      <w:pPr>
        <w:ind w:left="709"/>
        <w:rPr>
          <w:sz w:val="22"/>
          <w:szCs w:val="22"/>
          <w:lang w:val="en-GB"/>
        </w:rPr>
      </w:pPr>
    </w:p>
    <w:p w14:paraId="735F7BF0" w14:textId="77777777" w:rsidR="00FB0EFC" w:rsidRDefault="00FB0EFC" w:rsidP="00D62A71">
      <w:pPr>
        <w:ind w:left="709"/>
        <w:rPr>
          <w:sz w:val="22"/>
          <w:szCs w:val="22"/>
          <w:lang w:val="en-GB"/>
        </w:rPr>
      </w:pPr>
    </w:p>
    <w:p w14:paraId="31229575" w14:textId="77777777" w:rsidR="00FB0EFC" w:rsidRDefault="00FB0EFC" w:rsidP="00D62A71">
      <w:pPr>
        <w:ind w:left="709"/>
        <w:rPr>
          <w:sz w:val="22"/>
          <w:szCs w:val="22"/>
          <w:lang w:val="en-GB"/>
        </w:rPr>
      </w:pPr>
    </w:p>
    <w:p w14:paraId="16CC794E" w14:textId="77777777" w:rsidR="00FB0EFC" w:rsidRDefault="00FB0EFC" w:rsidP="00D62A71">
      <w:pPr>
        <w:ind w:left="709"/>
        <w:rPr>
          <w:sz w:val="22"/>
          <w:szCs w:val="22"/>
          <w:lang w:val="en-GB"/>
        </w:rPr>
      </w:pPr>
    </w:p>
    <w:p w14:paraId="3D5669F9" w14:textId="77777777" w:rsidR="00FB0EFC" w:rsidRDefault="00FB0EFC" w:rsidP="00D62A71">
      <w:pPr>
        <w:ind w:left="709"/>
        <w:rPr>
          <w:sz w:val="22"/>
          <w:szCs w:val="22"/>
          <w:lang w:val="en-GB"/>
        </w:rPr>
      </w:pPr>
    </w:p>
    <w:p w14:paraId="372C379F" w14:textId="77777777" w:rsidR="00FB0EFC" w:rsidRDefault="00FB0EFC" w:rsidP="00D62A71">
      <w:pPr>
        <w:ind w:left="709"/>
        <w:rPr>
          <w:sz w:val="22"/>
          <w:szCs w:val="22"/>
          <w:lang w:val="en-GB"/>
        </w:rPr>
      </w:pPr>
    </w:p>
    <w:p w14:paraId="365E9126" w14:textId="77777777" w:rsidR="00FB0EFC" w:rsidRPr="002E09EF" w:rsidRDefault="00FB0EFC" w:rsidP="00D62A71">
      <w:pPr>
        <w:ind w:left="709"/>
        <w:rPr>
          <w:sz w:val="22"/>
          <w:szCs w:val="22"/>
          <w:lang w:val="en-GB"/>
        </w:rPr>
      </w:pPr>
    </w:p>
    <w:p w14:paraId="64F33618" w14:textId="26F025E2" w:rsidR="002139C6" w:rsidRPr="00DD2F41" w:rsidRDefault="009634A0">
      <w:pPr>
        <w:ind w:left="360"/>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8752" behindDoc="0" locked="0" layoutInCell="0" allowOverlap="1" wp14:anchorId="58277C13" wp14:editId="66716302">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FE7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xGVgIAALI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" o:allowincell="f" strokecolor="#d4d4d4" strokeweight="1.75pt">
                <v:shadow on="t" offset="0,-1pt"/>
              </v:line>
            </w:pict>
          </mc:Fallback>
        </mc:AlternateContent>
      </w:r>
      <w:r w:rsidR="002139C6" w:rsidRPr="00DD2F41">
        <w:rPr>
          <w:rStyle w:val="Strong"/>
          <w:sz w:val="22"/>
          <w:szCs w:val="22"/>
          <w:lang w:val="en-GB"/>
        </w:rPr>
        <w:t>TERMS OF PARTICIPATION</w:t>
      </w:r>
    </w:p>
    <w:p w14:paraId="616F2802"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lastRenderedPageBreak/>
        <w:t xml:space="preserve">Eligibility </w:t>
      </w:r>
      <w:r w:rsidRPr="00D275AD">
        <w:rPr>
          <w:rStyle w:val="Strong"/>
          <w:sz w:val="22"/>
          <w:szCs w:val="22"/>
          <w:lang w:val="en-GB"/>
        </w:rPr>
        <w:t>and rules of origin</w:t>
      </w:r>
    </w:p>
    <w:p w14:paraId="005EC725" w14:textId="77777777" w:rsidR="00BD11C0" w:rsidRDefault="00BD11C0" w:rsidP="004C69BC">
      <w:pPr>
        <w:pStyle w:val="PRAGHeading2"/>
        <w:numPr>
          <w:ilvl w:val="0"/>
          <w:numId w:val="0"/>
        </w:numPr>
        <w:ind w:left="709"/>
        <w:rPr>
          <w:sz w:val="22"/>
          <w:szCs w:val="22"/>
          <w:highlight w:val="yellow"/>
          <w:lang w:val="en-GB"/>
        </w:rPr>
      </w:pPr>
      <w:r w:rsidRPr="00BD11C0">
        <w:rPr>
          <w:sz w:val="22"/>
          <w:szCs w:val="22"/>
          <w:lang w:val="en-GB"/>
        </w:rPr>
        <w:t>Participation in this tender procedure is open only to the invited tenderers</w:t>
      </w:r>
      <w:r w:rsidR="00096831">
        <w:rPr>
          <w:sz w:val="22"/>
          <w:szCs w:val="22"/>
          <w:lang w:val="en-GB"/>
        </w:rPr>
        <w:t>, who have replied to our call for Expression of Interest</w:t>
      </w:r>
      <w:r w:rsidRPr="00BD11C0">
        <w:rPr>
          <w:sz w:val="22"/>
          <w:szCs w:val="22"/>
          <w:lang w:val="en-GB"/>
        </w:rPr>
        <w:t>.</w:t>
      </w:r>
    </w:p>
    <w:p w14:paraId="4F0A97EE" w14:textId="77777777" w:rsidR="000158F3" w:rsidRPr="00D275AD" w:rsidRDefault="00096831" w:rsidP="00BD63A4">
      <w:pPr>
        <w:pStyle w:val="PRAGHeading2"/>
        <w:numPr>
          <w:ilvl w:val="0"/>
          <w:numId w:val="0"/>
        </w:numPr>
        <w:ind w:left="709"/>
        <w:jc w:val="both"/>
        <w:rPr>
          <w:sz w:val="22"/>
          <w:szCs w:val="22"/>
          <w:lang w:val="en-GB"/>
        </w:rPr>
      </w:pPr>
      <w:r>
        <w:rPr>
          <w:sz w:val="22"/>
          <w:szCs w:val="22"/>
          <w:lang w:val="en-GB"/>
        </w:rPr>
        <w:t>The call for expression of interest for the p</w:t>
      </w:r>
      <w:r w:rsidR="000158F3" w:rsidRPr="00D275AD">
        <w:rPr>
          <w:sz w:val="22"/>
          <w:szCs w:val="22"/>
          <w:lang w:val="en-GB"/>
        </w:rPr>
        <w:t>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Participation is also open to international organisations. Participation of natural persons is directly governed by the specific instruments applicable to the programme under which the contract is financed.</w:t>
      </w:r>
    </w:p>
    <w:p w14:paraId="647355DC" w14:textId="77777777" w:rsidR="002139C6" w:rsidRPr="00B24E1F" w:rsidRDefault="00B24E1F" w:rsidP="0076200F">
      <w:pPr>
        <w:pStyle w:val="PRAGHeading2"/>
        <w:keepNext/>
        <w:keepLines/>
        <w:jc w:val="both"/>
        <w:rPr>
          <w:rStyle w:val="Strong"/>
          <w:sz w:val="22"/>
          <w:szCs w:val="22"/>
          <w:lang w:val="en-GB"/>
        </w:rPr>
      </w:pPr>
      <w:bookmarkStart w:id="0" w:name="_DV_M201"/>
      <w:bookmarkEnd w:id="0"/>
      <w:r w:rsidRPr="00B24E1F">
        <w:rPr>
          <w:rStyle w:val="Strong"/>
          <w:sz w:val="22"/>
          <w:szCs w:val="22"/>
          <w:lang w:val="en-GB"/>
        </w:rPr>
        <w:t>Subcontracting</w:t>
      </w:r>
    </w:p>
    <w:p w14:paraId="37B1BD54" w14:textId="77777777" w:rsidR="00B24E1F" w:rsidRDefault="00B24E1F" w:rsidP="0076200F">
      <w:pPr>
        <w:pStyle w:val="PRAGHeading2"/>
        <w:keepNext/>
        <w:keepLines/>
        <w:numPr>
          <w:ilvl w:val="0"/>
          <w:numId w:val="0"/>
        </w:numPr>
        <w:ind w:left="720"/>
        <w:jc w:val="both"/>
        <w:rPr>
          <w:sz w:val="22"/>
          <w:szCs w:val="22"/>
          <w:lang w:val="en-GB"/>
        </w:rPr>
      </w:pPr>
      <w:r w:rsidRPr="00B24E1F">
        <w:rPr>
          <w:rStyle w:val="Strong"/>
          <w:b w:val="0"/>
          <w:sz w:val="22"/>
          <w:szCs w:val="22"/>
          <w:lang w:val="en-GB"/>
        </w:rPr>
        <w:t xml:space="preserve">Subcontracting is allowed. </w:t>
      </w:r>
    </w:p>
    <w:p w14:paraId="38B90247" w14:textId="77777777" w:rsidR="00B24E1F" w:rsidRDefault="00BD63A4"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sidR="00072A47">
        <w:rPr>
          <w:sz w:val="22"/>
          <w:szCs w:val="22"/>
          <w:lang w:val="en-GB"/>
        </w:rPr>
        <w:t>, s</w:t>
      </w:r>
      <w:r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Pr>
          <w:sz w:val="22"/>
          <w:szCs w:val="22"/>
          <w:lang w:val="en-GB"/>
        </w:rPr>
        <w:t xml:space="preserve"> above</w:t>
      </w:r>
      <w:r w:rsidRPr="00BD63A4">
        <w:rPr>
          <w:sz w:val="22"/>
          <w:szCs w:val="22"/>
          <w:lang w:val="en-GB"/>
        </w:rPr>
        <w:t>.</w:t>
      </w:r>
    </w:p>
    <w:p w14:paraId="2C993190"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0C0F3E01"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3FCA53ED"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50028157"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0B28C312"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35D0428F" w14:textId="77777777" w:rsidR="00EE2A34"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11964A8F" w14:textId="77777777" w:rsidR="00366CE2" w:rsidRDefault="00366CE2" w:rsidP="0076200F">
      <w:pPr>
        <w:ind w:left="709"/>
        <w:jc w:val="both"/>
        <w:rPr>
          <w:sz w:val="22"/>
          <w:szCs w:val="22"/>
          <w:lang w:val="en-GB"/>
        </w:rPr>
      </w:pPr>
    </w:p>
    <w:p w14:paraId="4DB704EC" w14:textId="77777777" w:rsidR="00366CE2" w:rsidRPr="00805EFA" w:rsidRDefault="00366CE2" w:rsidP="0076200F">
      <w:pPr>
        <w:ind w:left="709"/>
        <w:jc w:val="both"/>
        <w:rPr>
          <w:sz w:val="22"/>
          <w:szCs w:val="22"/>
          <w:lang w:val="en-GB"/>
        </w:rPr>
      </w:pPr>
    </w:p>
    <w:p w14:paraId="0144BBB0" w14:textId="7C56DC1F" w:rsidR="002139C6" w:rsidRPr="00DD2F41" w:rsidRDefault="009634A0" w:rsidP="0076200F">
      <w:pPr>
        <w:keepNext/>
        <w:keepLines/>
        <w:jc w:val="both"/>
        <w:rPr>
          <w:sz w:val="22"/>
          <w:szCs w:val="22"/>
          <w:lang w:val="en-GB"/>
        </w:rPr>
      </w:pPr>
      <w:r>
        <w:rPr>
          <w:noProof/>
          <w:snapToGrid/>
          <w:sz w:val="22"/>
          <w:szCs w:val="22"/>
          <w:lang w:val="en-GB"/>
        </w:rPr>
        <w:lastRenderedPageBreak/>
        <mc:AlternateContent>
          <mc:Choice Requires="wps">
            <w:drawing>
              <wp:anchor distT="0" distB="0" distL="114300" distR="114300" simplePos="0" relativeHeight="251655680" behindDoc="0" locked="0" layoutInCell="0" allowOverlap="1" wp14:anchorId="7DCFB90B" wp14:editId="4349ABF6">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BEE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R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EvUWI6v9d+HbKHMQ6B3DaRregaG+wMfs&#10;byKDqAOHIG/szJ+zdLacLqfFqMgny1GR1vXo02pRjCar7GFc39eLRZ39CiGzomwFY1wFkS5TkhV/&#10;14XDvJ77+zon13Ikt+hn5kdQCxS8kI5dFRrp3JJbzU5re+k2GIxoPAxxmLy3Z9i//dXMfw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Mfls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p>
    <w:p w14:paraId="44E0FC45"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063AB8CA" w14:textId="77777777"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15CFD488" w14:textId="77777777" w:rsidR="002B0469" w:rsidRPr="00FE6C13" w:rsidRDefault="002B0469"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14:paraId="61193341" w14:textId="77777777" w:rsidR="007E50EC" w:rsidRPr="00161536" w:rsidRDefault="00366CE2" w:rsidP="007E50EC">
      <w:pPr>
        <w:ind w:left="709"/>
        <w:rPr>
          <w:sz w:val="22"/>
          <w:szCs w:val="22"/>
          <w:lang w:val="en-GB"/>
        </w:rPr>
      </w:pPr>
      <w:r w:rsidRPr="00161536">
        <w:rPr>
          <w:sz w:val="22"/>
          <w:szCs w:val="22"/>
          <w:lang w:val="en-GB"/>
        </w:rPr>
        <w:t>The Contracting Authority in order that t</w:t>
      </w:r>
      <w:r w:rsidR="007E50EC" w:rsidRPr="00161536">
        <w:rPr>
          <w:sz w:val="22"/>
          <w:szCs w:val="22"/>
          <w:lang w:val="en-GB"/>
        </w:rPr>
        <w:t>he selection criteria should be clear and non-discriminatory and may not go beyond the scope of the contract</w:t>
      </w:r>
      <w:r w:rsidRPr="00161536">
        <w:rPr>
          <w:sz w:val="22"/>
          <w:szCs w:val="22"/>
          <w:lang w:val="en-GB"/>
        </w:rPr>
        <w:t>, has requested the following documentation, which has to be</w:t>
      </w:r>
      <w:r w:rsidR="007E50EC" w:rsidRPr="00161536">
        <w:rPr>
          <w:sz w:val="22"/>
          <w:szCs w:val="22"/>
          <w:lang w:val="en-GB"/>
        </w:rPr>
        <w:t xml:space="preserve"> refer</w:t>
      </w:r>
      <w:r w:rsidRPr="00161536">
        <w:rPr>
          <w:sz w:val="22"/>
          <w:szCs w:val="22"/>
          <w:lang w:val="en-GB"/>
        </w:rPr>
        <w:t>r</w:t>
      </w:r>
      <w:r w:rsidR="007E50EC" w:rsidRPr="00161536">
        <w:rPr>
          <w:sz w:val="22"/>
          <w:szCs w:val="22"/>
          <w:lang w:val="en-GB"/>
        </w:rPr>
        <w:t>e</w:t>
      </w:r>
      <w:r w:rsidRPr="00161536">
        <w:rPr>
          <w:sz w:val="22"/>
          <w:szCs w:val="22"/>
          <w:lang w:val="en-GB"/>
        </w:rPr>
        <w:t>d to a</w:t>
      </w:r>
      <w:r w:rsidR="007E50EC" w:rsidRPr="00161536">
        <w:rPr>
          <w:sz w:val="22"/>
          <w:szCs w:val="22"/>
          <w:lang w:val="en-GB"/>
        </w:rPr>
        <w:t xml:space="preserve"> period for financial capacity </w:t>
      </w:r>
      <w:r w:rsidR="00161536" w:rsidRPr="00161536">
        <w:rPr>
          <w:sz w:val="22"/>
          <w:szCs w:val="22"/>
          <w:lang w:val="en-GB"/>
        </w:rPr>
        <w:t xml:space="preserve">and capabilities </w:t>
      </w:r>
      <w:r w:rsidR="007E50EC" w:rsidRPr="00161536">
        <w:rPr>
          <w:sz w:val="22"/>
          <w:szCs w:val="22"/>
          <w:lang w:val="en-GB"/>
        </w:rPr>
        <w:t>not beyond the last 3 years for w</w:t>
      </w:r>
      <w:r w:rsidR="00161536" w:rsidRPr="00161536">
        <w:rPr>
          <w:sz w:val="22"/>
          <w:szCs w:val="22"/>
          <w:lang w:val="en-GB"/>
        </w:rPr>
        <w:t>hich accounts have been closed:</w:t>
      </w:r>
    </w:p>
    <w:p w14:paraId="1ED03A41" w14:textId="77777777" w:rsidR="007E50EC" w:rsidRPr="00161536" w:rsidRDefault="007E50EC" w:rsidP="007E50EC">
      <w:pPr>
        <w:ind w:left="709"/>
        <w:rPr>
          <w:sz w:val="22"/>
          <w:szCs w:val="22"/>
          <w:lang w:val="en-GB"/>
        </w:rPr>
      </w:pPr>
      <w:r w:rsidRPr="00161536">
        <w:rPr>
          <w:sz w:val="22"/>
          <w:szCs w:val="22"/>
          <w:lang w:val="en-GB"/>
        </w:rPr>
        <w:t>(a) information on the educational and professional qualifications, skills, experience and expertise of the persons responsible for performance;</w:t>
      </w:r>
      <w:r w:rsidR="00161536">
        <w:rPr>
          <w:sz w:val="22"/>
          <w:szCs w:val="22"/>
          <w:lang w:val="en-GB"/>
        </w:rPr>
        <w:t xml:space="preserve"> (Main Site Manager Curriculum Vitae)</w:t>
      </w:r>
      <w:r w:rsidR="00B52182">
        <w:rPr>
          <w:sz w:val="22"/>
          <w:szCs w:val="22"/>
          <w:lang w:val="en-GB"/>
        </w:rPr>
        <w:t xml:space="preserve">. In case the qualification skills of the Main Site manager are not equal or higher to the </w:t>
      </w:r>
      <w:r w:rsidR="00B52182" w:rsidRPr="00B52182">
        <w:rPr>
          <w:sz w:val="22"/>
          <w:szCs w:val="22"/>
          <w:lang w:val="en-GB"/>
        </w:rPr>
        <w:t>type</w:t>
      </w:r>
      <w:r w:rsidR="006321D9">
        <w:rPr>
          <w:sz w:val="22"/>
          <w:szCs w:val="22"/>
          <w:lang w:val="en-GB"/>
        </w:rPr>
        <w:t xml:space="preserve"> </w:t>
      </w:r>
      <w:r w:rsidR="00B52182" w:rsidRPr="00B52182">
        <w:rPr>
          <w:rStyle w:val="Strong"/>
          <w:b w:val="0"/>
          <w:sz w:val="22"/>
          <w:szCs w:val="22"/>
          <w:lang w:val="en-GB"/>
        </w:rPr>
        <w:t>/</w:t>
      </w:r>
      <w:r w:rsidR="00B52182" w:rsidRPr="00B52182">
        <w:rPr>
          <w:sz w:val="22"/>
          <w:szCs w:val="22"/>
          <w:lang w:val="en-GB"/>
        </w:rPr>
        <w:t>amount</w:t>
      </w:r>
      <w:r w:rsidR="006321D9">
        <w:rPr>
          <w:sz w:val="22"/>
          <w:szCs w:val="22"/>
          <w:lang w:val="en-GB"/>
        </w:rPr>
        <w:t xml:space="preserve"> </w:t>
      </w:r>
      <w:r w:rsidR="00B52182" w:rsidRPr="00B52182">
        <w:rPr>
          <w:rStyle w:val="Strong"/>
          <w:b w:val="0"/>
          <w:sz w:val="22"/>
          <w:szCs w:val="22"/>
          <w:lang w:val="en-GB"/>
        </w:rPr>
        <w:t>/</w:t>
      </w:r>
      <w:r w:rsidR="00B52182" w:rsidRPr="00B52182">
        <w:rPr>
          <w:sz w:val="22"/>
          <w:szCs w:val="22"/>
          <w:lang w:val="en-GB"/>
        </w:rPr>
        <w:t>complexity</w:t>
      </w:r>
      <w:r w:rsidR="00B52182">
        <w:rPr>
          <w:sz w:val="22"/>
          <w:szCs w:val="22"/>
          <w:lang w:val="en-GB"/>
        </w:rPr>
        <w:t xml:space="preserve"> of our project the company will be</w:t>
      </w:r>
      <w:r w:rsidR="006321D9">
        <w:rPr>
          <w:sz w:val="22"/>
          <w:szCs w:val="22"/>
          <w:lang w:val="en-GB"/>
        </w:rPr>
        <w:t xml:space="preserve"> excluded.</w:t>
      </w:r>
    </w:p>
    <w:p w14:paraId="355789D5" w14:textId="77777777" w:rsidR="007E50EC" w:rsidRPr="00161536" w:rsidRDefault="007E50EC" w:rsidP="007E50EC">
      <w:pPr>
        <w:ind w:left="709"/>
        <w:rPr>
          <w:sz w:val="22"/>
          <w:szCs w:val="22"/>
          <w:lang w:val="en-GB"/>
        </w:rPr>
      </w:pPr>
      <w:r w:rsidRPr="00161536">
        <w:rPr>
          <w:sz w:val="22"/>
          <w:szCs w:val="22"/>
          <w:lang w:val="en-GB"/>
        </w:rPr>
        <w:t xml:space="preserve">(b) a list of the works carried out in the last </w:t>
      </w:r>
      <w:r w:rsidR="00161536" w:rsidRPr="00161536">
        <w:rPr>
          <w:sz w:val="22"/>
          <w:szCs w:val="22"/>
          <w:lang w:val="en-GB"/>
        </w:rPr>
        <w:t>three</w:t>
      </w:r>
      <w:r w:rsidRPr="00161536">
        <w:rPr>
          <w:sz w:val="22"/>
          <w:szCs w:val="22"/>
          <w:lang w:val="en-GB"/>
        </w:rPr>
        <w:t xml:space="preserve"> years, accompanied by certificates of satisfactory execution for the works.</w:t>
      </w:r>
      <w:r w:rsidR="00161536" w:rsidRPr="00161536">
        <w:rPr>
          <w:sz w:val="22"/>
          <w:szCs w:val="22"/>
          <w:lang w:val="en-GB"/>
        </w:rPr>
        <w:t xml:space="preserve"> (By showing Final Acceptance Certificate, if the Building was constructed for a Governmental Entity or Showing Commissioning and Testing Certificates of the Constructed Registered Building (</w:t>
      </w:r>
      <w:proofErr w:type="spellStart"/>
      <w:r w:rsidR="00161536" w:rsidRPr="00161536">
        <w:rPr>
          <w:sz w:val="22"/>
          <w:szCs w:val="22"/>
          <w:lang w:val="en-GB"/>
        </w:rPr>
        <w:t>Kolaudim</w:t>
      </w:r>
      <w:proofErr w:type="spellEnd"/>
      <w:r w:rsidR="00161536" w:rsidRPr="00161536">
        <w:rPr>
          <w:sz w:val="22"/>
          <w:szCs w:val="22"/>
          <w:lang w:val="en-GB"/>
        </w:rPr>
        <w:t xml:space="preserve"> </w:t>
      </w:r>
      <w:proofErr w:type="spellStart"/>
      <w:r w:rsidR="00161536" w:rsidRPr="00161536">
        <w:rPr>
          <w:sz w:val="22"/>
          <w:szCs w:val="22"/>
          <w:lang w:val="en-GB"/>
        </w:rPr>
        <w:t>Ndertese</w:t>
      </w:r>
      <w:proofErr w:type="spellEnd"/>
      <w:r w:rsidR="00161536" w:rsidRPr="00161536">
        <w:rPr>
          <w:sz w:val="22"/>
          <w:szCs w:val="22"/>
          <w:lang w:val="en-GB"/>
        </w:rPr>
        <w:t>)).</w:t>
      </w:r>
      <w:r w:rsidRPr="00161536">
        <w:rPr>
          <w:sz w:val="22"/>
          <w:szCs w:val="22"/>
          <w:lang w:val="en-GB"/>
        </w:rPr>
        <w:t xml:space="preserve"> However, where necessary in order to ensure an adequate level of competition, the contracting authority may indicate that evidence of relevant works delivered or performed more than </w:t>
      </w:r>
      <w:r w:rsidR="00161536" w:rsidRPr="00161536">
        <w:rPr>
          <w:sz w:val="22"/>
          <w:szCs w:val="22"/>
          <w:lang w:val="en-GB"/>
        </w:rPr>
        <w:t>three</w:t>
      </w:r>
      <w:r w:rsidRPr="00161536">
        <w:rPr>
          <w:sz w:val="22"/>
          <w:szCs w:val="22"/>
          <w:lang w:val="en-GB"/>
        </w:rPr>
        <w:t xml:space="preserve"> years before will be taken into account.</w:t>
      </w:r>
    </w:p>
    <w:p w14:paraId="7A4F8F62" w14:textId="77777777" w:rsidR="007E50EC" w:rsidRDefault="007E50EC" w:rsidP="007E50EC">
      <w:pPr>
        <w:ind w:left="709"/>
        <w:rPr>
          <w:sz w:val="22"/>
          <w:szCs w:val="22"/>
          <w:lang w:val="en-GB"/>
        </w:rPr>
      </w:pPr>
      <w:r w:rsidRPr="00161536">
        <w:rPr>
          <w:sz w:val="22"/>
          <w:szCs w:val="22"/>
          <w:lang w:val="en-GB"/>
        </w:rPr>
        <w:t>(</w:t>
      </w:r>
      <w:r w:rsidR="00161536" w:rsidRPr="00161536">
        <w:rPr>
          <w:sz w:val="22"/>
          <w:szCs w:val="22"/>
          <w:lang w:val="en-GB"/>
        </w:rPr>
        <w:t>c</w:t>
      </w:r>
      <w:r w:rsidRPr="00161536">
        <w:rPr>
          <w:sz w:val="22"/>
          <w:szCs w:val="22"/>
          <w:lang w:val="en-GB"/>
        </w:rPr>
        <w:t>) a statement of the average annual manpower and the number of managerial staff of the economic operator for the last three years;</w:t>
      </w:r>
    </w:p>
    <w:p w14:paraId="593CAF17" w14:textId="77777777" w:rsidR="00161536" w:rsidRDefault="00161536" w:rsidP="00161536">
      <w:pPr>
        <w:ind w:left="709"/>
        <w:rPr>
          <w:sz w:val="22"/>
          <w:szCs w:val="22"/>
          <w:lang w:val="en-GB"/>
        </w:rPr>
      </w:pPr>
      <w:r w:rsidRPr="00161536">
        <w:rPr>
          <w:sz w:val="22"/>
          <w:szCs w:val="22"/>
          <w:lang w:val="en-GB"/>
        </w:rPr>
        <w:t>(</w:t>
      </w:r>
      <w:r>
        <w:rPr>
          <w:sz w:val="22"/>
          <w:szCs w:val="22"/>
          <w:lang w:val="en-GB"/>
        </w:rPr>
        <w:t>d</w:t>
      </w:r>
      <w:r w:rsidRPr="00161536">
        <w:rPr>
          <w:sz w:val="22"/>
          <w:szCs w:val="22"/>
          <w:lang w:val="en-GB"/>
        </w:rPr>
        <w:t xml:space="preserve">) a </w:t>
      </w:r>
      <w:r>
        <w:rPr>
          <w:sz w:val="22"/>
          <w:szCs w:val="22"/>
          <w:lang w:val="en-GB"/>
        </w:rPr>
        <w:t>certificate that shows the companies have paid all taxes and Social Security Contributions from the Regional Directorate Tax Office</w:t>
      </w:r>
      <w:r w:rsidRPr="00161536">
        <w:rPr>
          <w:sz w:val="22"/>
          <w:szCs w:val="22"/>
          <w:lang w:val="en-GB"/>
        </w:rPr>
        <w:t>;</w:t>
      </w:r>
    </w:p>
    <w:p w14:paraId="0815F561" w14:textId="77777777" w:rsidR="00012CB8" w:rsidRDefault="00012CB8" w:rsidP="00161536">
      <w:pPr>
        <w:ind w:left="709"/>
        <w:rPr>
          <w:sz w:val="22"/>
          <w:szCs w:val="22"/>
          <w:lang w:val="en-GB"/>
        </w:rPr>
      </w:pPr>
      <w:r>
        <w:rPr>
          <w:sz w:val="22"/>
          <w:szCs w:val="22"/>
          <w:lang w:val="en-GB"/>
        </w:rPr>
        <w:t>(e) a professional license awarded by the government to execute construction works is a must.</w:t>
      </w:r>
    </w:p>
    <w:p w14:paraId="4D732C8E" w14:textId="77777777" w:rsidR="002B0469" w:rsidRPr="001408AF" w:rsidRDefault="001408AF" w:rsidP="0076200F">
      <w:pPr>
        <w:ind w:left="720"/>
        <w:jc w:val="both"/>
        <w:rPr>
          <w:b/>
          <w:i/>
          <w:sz w:val="22"/>
          <w:u w:val="single"/>
          <w:lang w:val="en-GB"/>
        </w:rPr>
      </w:pPr>
      <w:r w:rsidRPr="001408AF">
        <w:rPr>
          <w:b/>
          <w:i/>
          <w:sz w:val="22"/>
          <w:lang w:val="en-GB"/>
        </w:rPr>
        <w:t>14.</w:t>
      </w:r>
      <w:proofErr w:type="spellStart"/>
      <w:r w:rsidRPr="001408AF">
        <w:rPr>
          <w:b/>
          <w:i/>
          <w:sz w:val="22"/>
          <w:lang w:val="en-GB"/>
        </w:rPr>
        <w:t>a</w:t>
      </w:r>
      <w:proofErr w:type="spellEnd"/>
      <w:r w:rsidRPr="001408AF">
        <w:rPr>
          <w:b/>
          <w:i/>
          <w:sz w:val="22"/>
          <w:lang w:val="en-GB"/>
        </w:rPr>
        <w:tab/>
      </w:r>
      <w:r w:rsidR="002B0469" w:rsidRPr="001408AF">
        <w:rPr>
          <w:b/>
          <w:i/>
          <w:sz w:val="22"/>
          <w:u w:val="single"/>
          <w:lang w:val="en-GB"/>
        </w:rPr>
        <w:t>Economic and financial capacity of candidate:</w:t>
      </w:r>
    </w:p>
    <w:p w14:paraId="336C6399" w14:textId="46AED401" w:rsidR="002B0469" w:rsidRPr="009634A0" w:rsidRDefault="002B0469" w:rsidP="008D2818">
      <w:pPr>
        <w:ind w:left="1134" w:hanging="284"/>
        <w:jc w:val="both"/>
        <w:rPr>
          <w:sz w:val="22"/>
          <w:lang w:val="en-GB"/>
        </w:rPr>
      </w:pPr>
      <w:r w:rsidRPr="009634A0">
        <w:rPr>
          <w:b/>
          <w:sz w:val="22"/>
          <w:lang w:val="en-GB"/>
        </w:rPr>
        <w:t>-</w:t>
      </w:r>
      <w:r w:rsidRPr="009634A0">
        <w:rPr>
          <w:b/>
          <w:sz w:val="22"/>
          <w:lang w:val="en-GB"/>
        </w:rPr>
        <w:tab/>
      </w:r>
      <w:r w:rsidRPr="009634A0">
        <w:rPr>
          <w:sz w:val="22"/>
          <w:lang w:val="en-GB"/>
        </w:rPr>
        <w:t xml:space="preserve">the average annual turnover of the tenderer in the past 3 years must be at least </w:t>
      </w:r>
      <w:proofErr w:type="gramStart"/>
      <w:r w:rsidR="00E0169C" w:rsidRPr="009634A0">
        <w:rPr>
          <w:sz w:val="22"/>
          <w:lang w:val="en-GB"/>
        </w:rPr>
        <w:t xml:space="preserve">100.000 </w:t>
      </w:r>
      <w:r w:rsidR="00B52182" w:rsidRPr="009634A0">
        <w:rPr>
          <w:sz w:val="22"/>
          <w:lang w:val="en-GB"/>
        </w:rPr>
        <w:t xml:space="preserve"> Euros</w:t>
      </w:r>
      <w:proofErr w:type="gramEnd"/>
      <w:r w:rsidR="00B52182" w:rsidRPr="009634A0">
        <w:rPr>
          <w:sz w:val="22"/>
          <w:lang w:val="en-GB"/>
        </w:rPr>
        <w:t xml:space="preserve"> per year</w:t>
      </w:r>
      <w:r w:rsidR="00B3535B" w:rsidRPr="009634A0">
        <w:rPr>
          <w:sz w:val="22"/>
          <w:lang w:val="en-GB"/>
        </w:rPr>
        <w:tab/>
        <w:t xml:space="preserve"> </w:t>
      </w:r>
    </w:p>
    <w:p w14:paraId="6035A9BD" w14:textId="77777777" w:rsidR="002B0469" w:rsidRPr="001408AF" w:rsidRDefault="001408AF" w:rsidP="0076200F">
      <w:pPr>
        <w:ind w:left="1440" w:hanging="720"/>
        <w:jc w:val="both"/>
        <w:rPr>
          <w:b/>
          <w:i/>
          <w:sz w:val="22"/>
          <w:lang w:val="en-GB"/>
        </w:rPr>
      </w:pPr>
      <w:r w:rsidRPr="001408AF">
        <w:rPr>
          <w:b/>
          <w:i/>
          <w:sz w:val="22"/>
          <w:lang w:val="en-GB"/>
        </w:rPr>
        <w:t>14.b</w:t>
      </w:r>
      <w:r w:rsidRPr="001408AF">
        <w:rPr>
          <w:b/>
          <w:i/>
          <w:sz w:val="22"/>
          <w:lang w:val="en-GB"/>
        </w:rPr>
        <w:tab/>
      </w:r>
      <w:r w:rsidR="002B0469" w:rsidRPr="001408AF">
        <w:rPr>
          <w:b/>
          <w:i/>
          <w:sz w:val="22"/>
          <w:u w:val="single"/>
          <w:lang w:val="en-GB"/>
        </w:rPr>
        <w:t>Technical and professional capacity of candidate:</w:t>
      </w:r>
    </w:p>
    <w:p w14:paraId="5846A1D9" w14:textId="0A456A89" w:rsidR="00B52182" w:rsidRPr="00B52182" w:rsidRDefault="002B0469" w:rsidP="008D2818">
      <w:pPr>
        <w:ind w:left="1134" w:hanging="284"/>
        <w:jc w:val="both"/>
        <w:rPr>
          <w:sz w:val="22"/>
          <w:lang w:val="en-GB"/>
        </w:rPr>
      </w:pPr>
      <w:r w:rsidRPr="00B52182">
        <w:rPr>
          <w:b/>
          <w:sz w:val="22"/>
          <w:lang w:val="en-GB"/>
        </w:rPr>
        <w:t>-</w:t>
      </w:r>
      <w:r w:rsidRPr="00B52182">
        <w:rPr>
          <w:b/>
          <w:sz w:val="22"/>
          <w:lang w:val="en-GB"/>
        </w:rPr>
        <w:tab/>
      </w:r>
      <w:r w:rsidR="00E0169C" w:rsidRPr="00E0169C">
        <w:rPr>
          <w:sz w:val="22"/>
          <w:lang w:val="en-GB"/>
        </w:rPr>
        <w:t>The tenderer</w:t>
      </w:r>
      <w:r w:rsidR="00E0169C">
        <w:rPr>
          <w:b/>
          <w:sz w:val="22"/>
          <w:lang w:val="en-GB"/>
        </w:rPr>
        <w:t xml:space="preserve"> </w:t>
      </w:r>
      <w:r w:rsidR="00E0169C" w:rsidRPr="00B52182">
        <w:rPr>
          <w:sz w:val="22"/>
          <w:lang w:val="en-GB"/>
        </w:rPr>
        <w:t>must</w:t>
      </w:r>
      <w:r w:rsidRPr="00B52182">
        <w:rPr>
          <w:sz w:val="22"/>
          <w:lang w:val="en-GB"/>
        </w:rPr>
        <w:t xml:space="preserve"> have completed at least </w:t>
      </w:r>
      <w:r w:rsidR="00B52182" w:rsidRPr="00B52182">
        <w:rPr>
          <w:sz w:val="22"/>
          <w:lang w:val="en-GB"/>
        </w:rPr>
        <w:t>one</w:t>
      </w:r>
      <w:r w:rsidRPr="00B52182">
        <w:rPr>
          <w:sz w:val="22"/>
          <w:lang w:val="en-GB"/>
        </w:rPr>
        <w:t xml:space="preserve"> projects of the same amount</w:t>
      </w:r>
      <w:r w:rsidR="00B52182" w:rsidRPr="00B52182">
        <w:rPr>
          <w:sz w:val="22"/>
          <w:lang w:val="en-GB"/>
        </w:rPr>
        <w:t xml:space="preserve"> of (lump sum budget)</w:t>
      </w:r>
      <w:r w:rsidRPr="00B52182">
        <w:rPr>
          <w:sz w:val="22"/>
          <w:lang w:val="en-GB"/>
        </w:rPr>
        <w:t xml:space="preserve"> as the works concerned by the tender and implemented during the following period</w:t>
      </w:r>
      <w:r w:rsidR="00B52182" w:rsidRPr="00B52182">
        <w:rPr>
          <w:sz w:val="22"/>
          <w:lang w:val="en-GB"/>
        </w:rPr>
        <w:t xml:space="preserve"> of three years</w:t>
      </w:r>
      <w:r w:rsidRPr="00B52182">
        <w:rPr>
          <w:sz w:val="22"/>
          <w:lang w:val="en-GB"/>
        </w:rPr>
        <w:t xml:space="preserve">: </w:t>
      </w:r>
    </w:p>
    <w:p w14:paraId="28BBDBBF" w14:textId="77777777" w:rsidR="002B0469" w:rsidRPr="00B52182" w:rsidRDefault="002B0469" w:rsidP="008D2818">
      <w:pPr>
        <w:ind w:left="1134" w:hanging="284"/>
        <w:jc w:val="both"/>
        <w:rPr>
          <w:sz w:val="22"/>
          <w:lang w:val="en-GB"/>
        </w:rPr>
      </w:pPr>
      <w:r w:rsidRPr="00B52182">
        <w:rPr>
          <w:sz w:val="22"/>
          <w:lang w:val="en-GB"/>
        </w:rPr>
        <w:t xml:space="preserve">The </w:t>
      </w:r>
      <w:r w:rsidR="00C43C3C" w:rsidRPr="00B52182">
        <w:rPr>
          <w:sz w:val="22"/>
          <w:lang w:val="en-GB"/>
        </w:rPr>
        <w:t>c</w:t>
      </w:r>
      <w:r w:rsidRPr="00B52182">
        <w:rPr>
          <w:sz w:val="22"/>
          <w:lang w:val="en-GB"/>
        </w:rPr>
        <w:t xml:space="preserve">ontracting </w:t>
      </w:r>
      <w:r w:rsidR="00C43C3C" w:rsidRPr="00B52182">
        <w:rPr>
          <w:sz w:val="22"/>
          <w:lang w:val="en-GB"/>
        </w:rPr>
        <w:t>a</w:t>
      </w:r>
      <w:r w:rsidRPr="00B52182">
        <w:rPr>
          <w:sz w:val="22"/>
          <w:lang w:val="en-GB"/>
        </w:rPr>
        <w:t>uthority reserves the right to ask for copies of certificates of final acceptance signed by the supervisors/contracting authority of the projects concerned.</w:t>
      </w:r>
    </w:p>
    <w:p w14:paraId="49EA0707" w14:textId="77777777" w:rsidR="00B52182" w:rsidRDefault="00B52182" w:rsidP="00833DA6">
      <w:pPr>
        <w:ind w:left="1134" w:hanging="284"/>
        <w:jc w:val="both"/>
        <w:rPr>
          <w:sz w:val="22"/>
          <w:u w:val="single"/>
          <w:lang w:val="en-GB"/>
        </w:rPr>
      </w:pPr>
    </w:p>
    <w:p w14:paraId="321C6CD0" w14:textId="77777777" w:rsidR="00833DA6" w:rsidRDefault="00833DA6" w:rsidP="00833DA6">
      <w:pPr>
        <w:ind w:left="1134" w:hanging="284"/>
        <w:jc w:val="both"/>
        <w:rPr>
          <w:sz w:val="22"/>
          <w:highlight w:val="yellow"/>
          <w:lang w:val="en-GB"/>
        </w:rPr>
      </w:pPr>
      <w:r w:rsidRPr="00833DA6">
        <w:rPr>
          <w:sz w:val="22"/>
          <w:lang w:val="en-GB"/>
        </w:rPr>
        <w:t xml:space="preserve">With regard to economic and financial criteria, the entities upon whose capacity the tenderer </w:t>
      </w:r>
      <w:r w:rsidRPr="00833DA6">
        <w:rPr>
          <w:sz w:val="22"/>
          <w:lang w:val="en-GB"/>
        </w:rPr>
        <w:lastRenderedPageBreak/>
        <w:t>relies, become jointly and severally liable for the performance of the contract.</w:t>
      </w:r>
    </w:p>
    <w:p w14:paraId="0787362B" w14:textId="1853BDA6" w:rsidR="008A0A49" w:rsidRPr="006321D9" w:rsidRDefault="008A0A49" w:rsidP="006321D9">
      <w:pPr>
        <w:widowControl/>
        <w:snapToGrid w:val="0"/>
        <w:spacing w:after="0"/>
        <w:ind w:left="850" w:right="360"/>
        <w:rPr>
          <w:sz w:val="22"/>
          <w:lang w:val="en-GB"/>
        </w:rPr>
      </w:pPr>
      <w:r w:rsidRPr="006321D9">
        <w:rPr>
          <w:sz w:val="22"/>
          <w:lang w:val="en-GB"/>
        </w:rPr>
        <w:t>Financial data to be provided by the tenderer in relation to the selection criteria must be expressed in EUR</w:t>
      </w:r>
    </w:p>
    <w:p w14:paraId="6935B17D"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14:paraId="4BE6E625" w14:textId="77777777" w:rsidR="006321D9" w:rsidRDefault="006321D9" w:rsidP="0076200F">
      <w:pPr>
        <w:ind w:left="426"/>
        <w:jc w:val="both"/>
        <w:rPr>
          <w:sz w:val="22"/>
          <w:lang w:val="en-GB"/>
        </w:rPr>
      </w:pPr>
      <w:r>
        <w:rPr>
          <w:sz w:val="22"/>
          <w:lang w:val="en-GB"/>
        </w:rPr>
        <w:t>The financial offer of the companies that have fulfil and comply with all the documents and criteria related to section 14 will be issued.</w:t>
      </w:r>
    </w:p>
    <w:p w14:paraId="7417FC32" w14:textId="77777777" w:rsidR="00492F3A" w:rsidRDefault="00492F3A" w:rsidP="0076200F">
      <w:pPr>
        <w:ind w:left="426"/>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14:paraId="5732F370" w14:textId="77777777" w:rsidR="006321D9" w:rsidRDefault="006321D9" w:rsidP="0076200F">
      <w:pPr>
        <w:jc w:val="both"/>
        <w:rPr>
          <w:sz w:val="22"/>
          <w:szCs w:val="22"/>
          <w:lang w:val="en-GB"/>
        </w:rPr>
      </w:pPr>
    </w:p>
    <w:p w14:paraId="58B1F178" w14:textId="77777777" w:rsidR="006321D9" w:rsidRDefault="006321D9" w:rsidP="0076200F">
      <w:pPr>
        <w:jc w:val="both"/>
        <w:rPr>
          <w:sz w:val="22"/>
          <w:szCs w:val="22"/>
          <w:lang w:val="en-GB"/>
        </w:rPr>
      </w:pPr>
    </w:p>
    <w:p w14:paraId="3D896402" w14:textId="77777777" w:rsidR="006321D9" w:rsidRDefault="006321D9" w:rsidP="0076200F">
      <w:pPr>
        <w:jc w:val="both"/>
        <w:rPr>
          <w:sz w:val="22"/>
          <w:szCs w:val="22"/>
          <w:lang w:val="en-GB"/>
        </w:rPr>
      </w:pPr>
    </w:p>
    <w:p w14:paraId="5ACE6B47" w14:textId="77777777" w:rsidR="006321D9" w:rsidRDefault="006321D9" w:rsidP="0076200F">
      <w:pPr>
        <w:jc w:val="both"/>
        <w:rPr>
          <w:sz w:val="22"/>
          <w:szCs w:val="22"/>
          <w:lang w:val="en-GB"/>
        </w:rPr>
      </w:pPr>
    </w:p>
    <w:p w14:paraId="3BF678BB" w14:textId="77777777" w:rsidR="006321D9" w:rsidRDefault="006321D9" w:rsidP="0076200F">
      <w:pPr>
        <w:jc w:val="both"/>
        <w:rPr>
          <w:sz w:val="22"/>
          <w:szCs w:val="22"/>
          <w:lang w:val="en-GB"/>
        </w:rPr>
      </w:pPr>
    </w:p>
    <w:p w14:paraId="79827406" w14:textId="77777777" w:rsidR="006321D9" w:rsidRDefault="006321D9" w:rsidP="0076200F">
      <w:pPr>
        <w:jc w:val="both"/>
        <w:rPr>
          <w:sz w:val="22"/>
          <w:szCs w:val="22"/>
          <w:lang w:val="en-GB"/>
        </w:rPr>
      </w:pPr>
    </w:p>
    <w:p w14:paraId="1CA9FF12" w14:textId="77777777" w:rsidR="006321D9" w:rsidRDefault="006321D9" w:rsidP="0076200F">
      <w:pPr>
        <w:jc w:val="both"/>
        <w:rPr>
          <w:sz w:val="22"/>
          <w:szCs w:val="22"/>
          <w:lang w:val="en-GB"/>
        </w:rPr>
      </w:pPr>
    </w:p>
    <w:p w14:paraId="40AB16CD" w14:textId="77777777" w:rsidR="006321D9" w:rsidRDefault="006321D9" w:rsidP="0076200F">
      <w:pPr>
        <w:jc w:val="both"/>
        <w:rPr>
          <w:sz w:val="22"/>
          <w:szCs w:val="22"/>
          <w:lang w:val="en-GB"/>
        </w:rPr>
      </w:pPr>
    </w:p>
    <w:p w14:paraId="7E969853" w14:textId="77777777" w:rsidR="006321D9" w:rsidRDefault="006321D9" w:rsidP="0076200F">
      <w:pPr>
        <w:jc w:val="both"/>
        <w:rPr>
          <w:sz w:val="22"/>
          <w:szCs w:val="22"/>
          <w:lang w:val="en-GB"/>
        </w:rPr>
      </w:pPr>
    </w:p>
    <w:p w14:paraId="725EB0E5" w14:textId="77777777" w:rsidR="006321D9" w:rsidRDefault="006321D9" w:rsidP="0076200F">
      <w:pPr>
        <w:jc w:val="both"/>
        <w:rPr>
          <w:sz w:val="22"/>
          <w:szCs w:val="22"/>
          <w:lang w:val="en-GB"/>
        </w:rPr>
      </w:pPr>
    </w:p>
    <w:p w14:paraId="35B52E10" w14:textId="77777777" w:rsidR="006321D9" w:rsidRDefault="006321D9" w:rsidP="0076200F">
      <w:pPr>
        <w:jc w:val="both"/>
        <w:rPr>
          <w:sz w:val="22"/>
          <w:szCs w:val="22"/>
          <w:lang w:val="en-GB"/>
        </w:rPr>
      </w:pPr>
    </w:p>
    <w:p w14:paraId="02B4F2CF" w14:textId="77777777" w:rsidR="006321D9" w:rsidRDefault="006321D9" w:rsidP="0076200F">
      <w:pPr>
        <w:jc w:val="both"/>
        <w:rPr>
          <w:sz w:val="22"/>
          <w:szCs w:val="22"/>
          <w:lang w:val="en-GB"/>
        </w:rPr>
      </w:pPr>
    </w:p>
    <w:p w14:paraId="72D39E40" w14:textId="77777777" w:rsidR="006321D9" w:rsidRDefault="006321D9" w:rsidP="0076200F">
      <w:pPr>
        <w:jc w:val="both"/>
        <w:rPr>
          <w:sz w:val="22"/>
          <w:szCs w:val="22"/>
          <w:lang w:val="en-GB"/>
        </w:rPr>
      </w:pPr>
    </w:p>
    <w:p w14:paraId="3B6B0027" w14:textId="77777777" w:rsidR="006321D9" w:rsidRDefault="006321D9" w:rsidP="0076200F">
      <w:pPr>
        <w:jc w:val="both"/>
        <w:rPr>
          <w:sz w:val="22"/>
          <w:szCs w:val="22"/>
          <w:lang w:val="en-GB"/>
        </w:rPr>
      </w:pPr>
    </w:p>
    <w:p w14:paraId="12F1AF2A" w14:textId="77777777" w:rsidR="006321D9" w:rsidRDefault="006321D9" w:rsidP="0076200F">
      <w:pPr>
        <w:jc w:val="both"/>
        <w:rPr>
          <w:sz w:val="22"/>
          <w:szCs w:val="22"/>
          <w:lang w:val="en-GB"/>
        </w:rPr>
      </w:pPr>
    </w:p>
    <w:p w14:paraId="5CD98D50" w14:textId="77777777" w:rsidR="006321D9" w:rsidRDefault="006321D9" w:rsidP="0076200F">
      <w:pPr>
        <w:jc w:val="both"/>
        <w:rPr>
          <w:sz w:val="22"/>
          <w:szCs w:val="22"/>
          <w:lang w:val="en-GB"/>
        </w:rPr>
      </w:pPr>
    </w:p>
    <w:p w14:paraId="210F129A" w14:textId="77777777" w:rsidR="006321D9" w:rsidRDefault="006321D9" w:rsidP="0076200F">
      <w:pPr>
        <w:jc w:val="both"/>
        <w:rPr>
          <w:sz w:val="22"/>
          <w:szCs w:val="22"/>
          <w:lang w:val="en-GB"/>
        </w:rPr>
      </w:pPr>
    </w:p>
    <w:p w14:paraId="5A495DEF" w14:textId="77777777" w:rsidR="006321D9" w:rsidRDefault="006321D9" w:rsidP="0076200F">
      <w:pPr>
        <w:jc w:val="both"/>
        <w:rPr>
          <w:sz w:val="22"/>
          <w:szCs w:val="22"/>
          <w:lang w:val="en-GB"/>
        </w:rPr>
      </w:pPr>
    </w:p>
    <w:p w14:paraId="4BA5784F" w14:textId="77777777" w:rsidR="006321D9" w:rsidRDefault="006321D9" w:rsidP="0076200F">
      <w:pPr>
        <w:jc w:val="both"/>
        <w:rPr>
          <w:sz w:val="22"/>
          <w:szCs w:val="22"/>
          <w:lang w:val="en-GB"/>
        </w:rPr>
      </w:pPr>
    </w:p>
    <w:p w14:paraId="26054A6A" w14:textId="77777777" w:rsidR="006321D9" w:rsidRDefault="006321D9" w:rsidP="0076200F">
      <w:pPr>
        <w:jc w:val="both"/>
        <w:rPr>
          <w:sz w:val="22"/>
          <w:szCs w:val="22"/>
          <w:lang w:val="en-GB"/>
        </w:rPr>
      </w:pPr>
    </w:p>
    <w:p w14:paraId="34048493" w14:textId="77777777" w:rsidR="006321D9" w:rsidRDefault="006321D9" w:rsidP="0076200F">
      <w:pPr>
        <w:jc w:val="both"/>
        <w:rPr>
          <w:sz w:val="22"/>
          <w:szCs w:val="22"/>
          <w:lang w:val="en-GB"/>
        </w:rPr>
      </w:pPr>
    </w:p>
    <w:p w14:paraId="2C5EBA7E" w14:textId="16EB80EC" w:rsidR="002139C6" w:rsidRPr="00DD2F41" w:rsidRDefault="009634A0" w:rsidP="0076200F">
      <w:pPr>
        <w:jc w:val="both"/>
        <w:rPr>
          <w:sz w:val="22"/>
          <w:szCs w:val="22"/>
          <w:lang w:val="en-GB"/>
        </w:rPr>
      </w:pPr>
      <w:r>
        <w:rPr>
          <w:noProof/>
          <w:snapToGrid/>
          <w:sz w:val="22"/>
          <w:szCs w:val="22"/>
          <w:lang w:val="en-GB"/>
        </w:rPr>
        <mc:AlternateContent>
          <mc:Choice Requires="wps">
            <w:drawing>
              <wp:anchor distT="0" distB="0" distL="114300" distR="114300" simplePos="0" relativeHeight="251656704" behindDoc="0" locked="0" layoutInCell="0" allowOverlap="1" wp14:anchorId="24FADA87" wp14:editId="47E4285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181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5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RL3FyGr/Xfg2yhwEesdwnoZ3YKgv8DH7&#10;m8gg6sAhyBs78+dD+rCar+b5KB/PVqM8rarRp/UyH83W2f20mlTLZZX9CiGzvGgFY1wFkS5TkuV/&#10;14XDvJ77+zon13Ikt+hn5kdQCxS8kI5dFRrp3JI7zU4be+k2GIxoPAxxmLy3Z9i//dUsfg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g5cC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p>
    <w:p w14:paraId="49254B5D" w14:textId="77777777" w:rsidR="002139C6" w:rsidRPr="00DD2F41" w:rsidRDefault="002139C6" w:rsidP="0076200F">
      <w:pPr>
        <w:ind w:left="360"/>
        <w:jc w:val="both"/>
        <w:rPr>
          <w:rStyle w:val="Strong"/>
          <w:sz w:val="22"/>
          <w:szCs w:val="22"/>
          <w:lang w:val="en-GB"/>
        </w:rPr>
      </w:pPr>
      <w:r w:rsidRPr="00DD2F41">
        <w:rPr>
          <w:rStyle w:val="Strong"/>
          <w:sz w:val="22"/>
          <w:szCs w:val="22"/>
          <w:lang w:val="en-GB"/>
        </w:rPr>
        <w:lastRenderedPageBreak/>
        <w:t>TENDERING</w:t>
      </w:r>
    </w:p>
    <w:p w14:paraId="36C91596"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5B4DFD6C"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5A000195"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4D4999CE"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1B9E4429"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21A9A7F2"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880F" w14:textId="77777777" w:rsidR="00705AC3" w:rsidRDefault="00705AC3">
      <w:r>
        <w:separator/>
      </w:r>
    </w:p>
  </w:endnote>
  <w:endnote w:type="continuationSeparator" w:id="0">
    <w:p w14:paraId="4EA3A274" w14:textId="77777777" w:rsidR="00705AC3" w:rsidRDefault="0070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FE5" w14:textId="3FD0797F" w:rsidR="00B640CA" w:rsidRPr="000F07CD" w:rsidRDefault="00B640CA" w:rsidP="009B4A52">
    <w:pPr>
      <w:pStyle w:val="Footer"/>
      <w:tabs>
        <w:tab w:val="clear" w:pos="4536"/>
        <w:tab w:val="clear" w:pos="9072"/>
        <w:tab w:val="right" w:pos="9356"/>
      </w:tabs>
      <w:spacing w:before="0" w:after="0"/>
      <w:rPr>
        <w:rStyle w:val="PageNumber"/>
        <w:sz w:val="18"/>
        <w:szCs w:val="18"/>
        <w:lang w:val="en-GB"/>
      </w:rPr>
    </w:pPr>
    <w:r w:rsidRPr="000F07CD">
      <w:rPr>
        <w:sz w:val="18"/>
        <w:szCs w:val="18"/>
        <w:lang w:val="en-GB"/>
      </w:rPr>
      <w:tab/>
      <w:t xml:space="preserve">Page </w:t>
    </w:r>
    <w:r w:rsidRPr="009B4A52">
      <w:rPr>
        <w:rStyle w:val="PageNumber"/>
        <w:sz w:val="18"/>
        <w:szCs w:val="18"/>
      </w:rPr>
      <w:fldChar w:fldCharType="begin"/>
    </w:r>
    <w:r w:rsidRPr="000F07CD">
      <w:rPr>
        <w:rStyle w:val="PageNumber"/>
        <w:sz w:val="18"/>
        <w:szCs w:val="18"/>
        <w:lang w:val="en-GB"/>
      </w:rPr>
      <w:instrText xml:space="preserve"> PAGE </w:instrText>
    </w:r>
    <w:r w:rsidRPr="009B4A52">
      <w:rPr>
        <w:rStyle w:val="PageNumber"/>
        <w:sz w:val="18"/>
        <w:szCs w:val="18"/>
      </w:rPr>
      <w:fldChar w:fldCharType="separate"/>
    </w:r>
    <w:r w:rsidR="00012CB8">
      <w:rPr>
        <w:rStyle w:val="PageNumber"/>
        <w:noProof/>
        <w:sz w:val="18"/>
        <w:szCs w:val="18"/>
        <w:lang w:val="en-GB"/>
      </w:rPr>
      <w:t>4</w:t>
    </w:r>
    <w:r w:rsidRPr="009B4A52">
      <w:rPr>
        <w:rStyle w:val="PageNumber"/>
        <w:sz w:val="18"/>
        <w:szCs w:val="18"/>
      </w:rPr>
      <w:fldChar w:fldCharType="end"/>
    </w:r>
    <w:r w:rsidRPr="000F07CD">
      <w:rPr>
        <w:rStyle w:val="PageNumber"/>
        <w:sz w:val="18"/>
        <w:szCs w:val="18"/>
        <w:lang w:val="en-GB"/>
      </w:rPr>
      <w:t xml:space="preserve"> of </w:t>
    </w:r>
    <w:r w:rsidRPr="009B4A52">
      <w:rPr>
        <w:rStyle w:val="PageNumber"/>
        <w:sz w:val="18"/>
        <w:szCs w:val="18"/>
      </w:rPr>
      <w:fldChar w:fldCharType="begin"/>
    </w:r>
    <w:r w:rsidRPr="000F07CD">
      <w:rPr>
        <w:rStyle w:val="PageNumber"/>
        <w:sz w:val="18"/>
        <w:szCs w:val="18"/>
        <w:lang w:val="en-GB"/>
      </w:rPr>
      <w:instrText xml:space="preserve"> NUMPAGES </w:instrText>
    </w:r>
    <w:r w:rsidRPr="009B4A52">
      <w:rPr>
        <w:rStyle w:val="PageNumber"/>
        <w:sz w:val="18"/>
        <w:szCs w:val="18"/>
      </w:rPr>
      <w:fldChar w:fldCharType="separate"/>
    </w:r>
    <w:r w:rsidR="00012CB8">
      <w:rPr>
        <w:rStyle w:val="PageNumber"/>
        <w:noProof/>
        <w:sz w:val="18"/>
        <w:szCs w:val="18"/>
        <w:lang w:val="en-GB"/>
      </w:rPr>
      <w:t>6</w:t>
    </w:r>
    <w:r w:rsidRPr="009B4A52">
      <w:rPr>
        <w:rStyle w:val="PageNumber"/>
        <w:sz w:val="18"/>
        <w:szCs w:val="18"/>
      </w:rPr>
      <w:fldChar w:fldCharType="end"/>
    </w:r>
  </w:p>
  <w:p w14:paraId="27CA13BA" w14:textId="53765AC2"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contractnotice_simpl_en.</w:t>
    </w:r>
    <w:r w:rsidR="009634A0">
      <w:rPr>
        <w:noProof/>
        <w:sz w:val="18"/>
        <w:szCs w:val="18"/>
        <w:lang w:val="en-GB"/>
      </w:rPr>
      <w:t xml:space="preserve">FIREPREP PROJECT </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8C94" w14:textId="77777777" w:rsidR="00705AC3" w:rsidRDefault="00705AC3">
      <w:r>
        <w:separator/>
      </w:r>
    </w:p>
  </w:footnote>
  <w:footnote w:type="continuationSeparator" w:id="0">
    <w:p w14:paraId="0555016F" w14:textId="77777777" w:rsidR="00705AC3" w:rsidRDefault="0070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9"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5"/>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8"/>
  </w:num>
  <w:num w:numId="33">
    <w:abstractNumId w:val="37"/>
  </w:num>
  <w:num w:numId="34">
    <w:abstractNumId w:val="28"/>
    <w:lvlOverride w:ilvl="0">
      <w:startOverride w:val="1"/>
    </w:lvlOverride>
  </w:num>
  <w:num w:numId="35">
    <w:abstractNumId w:val="36"/>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39"/>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733BD"/>
    <w:rsid w:val="00012CB8"/>
    <w:rsid w:val="000132F4"/>
    <w:rsid w:val="000158F3"/>
    <w:rsid w:val="00015F72"/>
    <w:rsid w:val="0002576E"/>
    <w:rsid w:val="00040BD0"/>
    <w:rsid w:val="00046700"/>
    <w:rsid w:val="00047785"/>
    <w:rsid w:val="00061733"/>
    <w:rsid w:val="00065E5A"/>
    <w:rsid w:val="00072A47"/>
    <w:rsid w:val="000824D8"/>
    <w:rsid w:val="00090FAB"/>
    <w:rsid w:val="00096831"/>
    <w:rsid w:val="00096962"/>
    <w:rsid w:val="000B5CA1"/>
    <w:rsid w:val="000D17E3"/>
    <w:rsid w:val="000D65F3"/>
    <w:rsid w:val="000E27C4"/>
    <w:rsid w:val="000E7FF7"/>
    <w:rsid w:val="000F07CD"/>
    <w:rsid w:val="000F67CD"/>
    <w:rsid w:val="00113543"/>
    <w:rsid w:val="0012198B"/>
    <w:rsid w:val="00124E3D"/>
    <w:rsid w:val="001408AF"/>
    <w:rsid w:val="001409A5"/>
    <w:rsid w:val="00144A03"/>
    <w:rsid w:val="00146F24"/>
    <w:rsid w:val="0016067C"/>
    <w:rsid w:val="00161536"/>
    <w:rsid w:val="00172778"/>
    <w:rsid w:val="0017755B"/>
    <w:rsid w:val="00184185"/>
    <w:rsid w:val="00193AA4"/>
    <w:rsid w:val="001A65EB"/>
    <w:rsid w:val="001C552D"/>
    <w:rsid w:val="001D5D4B"/>
    <w:rsid w:val="001D6F33"/>
    <w:rsid w:val="001E290D"/>
    <w:rsid w:val="00202C77"/>
    <w:rsid w:val="002139C6"/>
    <w:rsid w:val="00226910"/>
    <w:rsid w:val="00240E69"/>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5030"/>
    <w:rsid w:val="002E735D"/>
    <w:rsid w:val="002E7C2B"/>
    <w:rsid w:val="002F1040"/>
    <w:rsid w:val="002F54C8"/>
    <w:rsid w:val="003100BB"/>
    <w:rsid w:val="0031245B"/>
    <w:rsid w:val="00321225"/>
    <w:rsid w:val="00337F6E"/>
    <w:rsid w:val="00341E7E"/>
    <w:rsid w:val="003432DB"/>
    <w:rsid w:val="00344654"/>
    <w:rsid w:val="00345D09"/>
    <w:rsid w:val="00366082"/>
    <w:rsid w:val="00366CE2"/>
    <w:rsid w:val="003720EC"/>
    <w:rsid w:val="00383D66"/>
    <w:rsid w:val="00391F9F"/>
    <w:rsid w:val="003923FE"/>
    <w:rsid w:val="003A2491"/>
    <w:rsid w:val="003A51DF"/>
    <w:rsid w:val="003B2B49"/>
    <w:rsid w:val="003B7B6F"/>
    <w:rsid w:val="003C07AC"/>
    <w:rsid w:val="003C3139"/>
    <w:rsid w:val="003E27E0"/>
    <w:rsid w:val="003E4A4B"/>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62BA6"/>
    <w:rsid w:val="005711BD"/>
    <w:rsid w:val="00584DF6"/>
    <w:rsid w:val="005859B6"/>
    <w:rsid w:val="00586DE6"/>
    <w:rsid w:val="00597BFE"/>
    <w:rsid w:val="005A533C"/>
    <w:rsid w:val="005C3A9A"/>
    <w:rsid w:val="005D639E"/>
    <w:rsid w:val="005E63ED"/>
    <w:rsid w:val="005F7047"/>
    <w:rsid w:val="006027ED"/>
    <w:rsid w:val="00604ABA"/>
    <w:rsid w:val="00631F1A"/>
    <w:rsid w:val="006321D9"/>
    <w:rsid w:val="00647BCC"/>
    <w:rsid w:val="00662A96"/>
    <w:rsid w:val="006718D7"/>
    <w:rsid w:val="00684A6B"/>
    <w:rsid w:val="00694640"/>
    <w:rsid w:val="006A4BA7"/>
    <w:rsid w:val="006C3DBB"/>
    <w:rsid w:val="006C703D"/>
    <w:rsid w:val="006D3CE7"/>
    <w:rsid w:val="006E7CF0"/>
    <w:rsid w:val="006F7E78"/>
    <w:rsid w:val="007035F4"/>
    <w:rsid w:val="00705AC3"/>
    <w:rsid w:val="00705BB4"/>
    <w:rsid w:val="0071048F"/>
    <w:rsid w:val="00712510"/>
    <w:rsid w:val="007163F2"/>
    <w:rsid w:val="00717FCD"/>
    <w:rsid w:val="00721E98"/>
    <w:rsid w:val="00725D52"/>
    <w:rsid w:val="00732672"/>
    <w:rsid w:val="00740BD2"/>
    <w:rsid w:val="00756D67"/>
    <w:rsid w:val="0076030A"/>
    <w:rsid w:val="0076200F"/>
    <w:rsid w:val="00786BBB"/>
    <w:rsid w:val="007A48E8"/>
    <w:rsid w:val="007C4AA9"/>
    <w:rsid w:val="007D6C98"/>
    <w:rsid w:val="007E0D76"/>
    <w:rsid w:val="007E17B2"/>
    <w:rsid w:val="007E50EC"/>
    <w:rsid w:val="008044AC"/>
    <w:rsid w:val="00805EFA"/>
    <w:rsid w:val="00812A1D"/>
    <w:rsid w:val="00813D9D"/>
    <w:rsid w:val="008141F8"/>
    <w:rsid w:val="008158D7"/>
    <w:rsid w:val="00831879"/>
    <w:rsid w:val="00832BB3"/>
    <w:rsid w:val="00833DA6"/>
    <w:rsid w:val="00846CE9"/>
    <w:rsid w:val="00854B12"/>
    <w:rsid w:val="00861DBD"/>
    <w:rsid w:val="00864A70"/>
    <w:rsid w:val="00883695"/>
    <w:rsid w:val="008A0A49"/>
    <w:rsid w:val="008A71B4"/>
    <w:rsid w:val="008B501D"/>
    <w:rsid w:val="008D1D32"/>
    <w:rsid w:val="008D2818"/>
    <w:rsid w:val="008D70D4"/>
    <w:rsid w:val="008E1A09"/>
    <w:rsid w:val="009006A8"/>
    <w:rsid w:val="0090169E"/>
    <w:rsid w:val="009067EA"/>
    <w:rsid w:val="00921394"/>
    <w:rsid w:val="00944E53"/>
    <w:rsid w:val="009634A0"/>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4755"/>
    <w:rsid w:val="00AD011E"/>
    <w:rsid w:val="00AD0BF2"/>
    <w:rsid w:val="00AE328D"/>
    <w:rsid w:val="00AF3371"/>
    <w:rsid w:val="00B022FD"/>
    <w:rsid w:val="00B05F1D"/>
    <w:rsid w:val="00B159D6"/>
    <w:rsid w:val="00B24E1F"/>
    <w:rsid w:val="00B272AC"/>
    <w:rsid w:val="00B27EF0"/>
    <w:rsid w:val="00B3535B"/>
    <w:rsid w:val="00B47C02"/>
    <w:rsid w:val="00B52182"/>
    <w:rsid w:val="00B52B1C"/>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37BDC"/>
    <w:rsid w:val="00C37CFF"/>
    <w:rsid w:val="00C43C3C"/>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60F5"/>
    <w:rsid w:val="00D87613"/>
    <w:rsid w:val="00D949DA"/>
    <w:rsid w:val="00D974A3"/>
    <w:rsid w:val="00DC0CF2"/>
    <w:rsid w:val="00DC0EC0"/>
    <w:rsid w:val="00DC7917"/>
    <w:rsid w:val="00DD2F41"/>
    <w:rsid w:val="00DD54A4"/>
    <w:rsid w:val="00DD6316"/>
    <w:rsid w:val="00DF2EC2"/>
    <w:rsid w:val="00E0169C"/>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C34A9"/>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3D5E"/>
    <w:rsid w:val="00F96F61"/>
    <w:rsid w:val="00FA2AA9"/>
    <w:rsid w:val="00FB0EFC"/>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EEB45"/>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0205-339D-4BCC-AA68-1DD22B6C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8291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PC-6</cp:lastModifiedBy>
  <cp:revision>2</cp:revision>
  <cp:lastPrinted>2006-01-25T10:58:00Z</cp:lastPrinted>
  <dcterms:created xsi:type="dcterms:W3CDTF">2021-05-20T09:02:00Z</dcterms:created>
  <dcterms:modified xsi:type="dcterms:W3CDTF">2021-05-20T09:02:00Z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