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2965665" w:rsidR="00AB471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The Municipality of Berat</w:t>
      </w:r>
    </w:p>
    <w:p w14:paraId="53DA23A5" w14:textId="77777777" w:rsidR="00CF0308" w:rsidRPr="009B30F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5D416B11" w:rsidR="00CD243E" w:rsidRPr="00552705" w:rsidRDefault="00CC0661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FIREPREP </w:t>
      </w:r>
      <w:r w:rsidR="00CD243E"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1BAE06AD" w14:textId="3D737598" w:rsidR="00CF0308" w:rsidRPr="00CF0308" w:rsidRDefault="004D2FD8" w:rsidP="00CF0308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 w:rsidR="00A25F39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 w:rsidR="00CF0308">
        <w:rPr>
          <w:rFonts w:ascii="Times New Roman" w:hAnsi="Times New Roman"/>
          <w:b/>
          <w:sz w:val="24"/>
          <w:szCs w:val="24"/>
        </w:rPr>
        <w:t xml:space="preserve">Purchase of Fire Fighting Vehicle 4x4 2.600 </w:t>
      </w:r>
      <w:r w:rsidR="002B1E98">
        <w:rPr>
          <w:rFonts w:ascii="Times New Roman" w:hAnsi="Times New Roman"/>
          <w:b/>
          <w:sz w:val="24"/>
          <w:szCs w:val="24"/>
        </w:rPr>
        <w:t>Liters”</w:t>
      </w:r>
      <w:r w:rsidR="002B1E98" w:rsidRPr="00AF7FB7">
        <w:rPr>
          <w:rFonts w:ascii="Times New Roman" w:hAnsi="Times New Roman"/>
          <w:b/>
          <w:sz w:val="24"/>
          <w:szCs w:val="24"/>
        </w:rPr>
        <w:t xml:space="preserve"> </w:t>
      </w:r>
      <w:r w:rsidR="002B1E98" w:rsidRPr="00AF7FB7">
        <w:rPr>
          <w:rFonts w:ascii="Times New Roman" w:hAnsi="Times New Roman"/>
          <w:b/>
          <w:i/>
          <w:sz w:val="24"/>
          <w:szCs w:val="24"/>
        </w:rPr>
        <w:t>–</w:t>
      </w:r>
      <w:r w:rsidR="00CF0308" w:rsidRPr="00AF7F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308" w:rsidRPr="00AF7FB7">
        <w:rPr>
          <w:rFonts w:ascii="Times New Roman" w:hAnsi="Times New Roman"/>
          <w:b/>
          <w:sz w:val="24"/>
          <w:szCs w:val="24"/>
        </w:rPr>
        <w:t xml:space="preserve">in the frame of the </w:t>
      </w:r>
      <w:r w:rsidR="00CC0661" w:rsidRPr="00AF7FB7">
        <w:rPr>
          <w:rFonts w:ascii="Times New Roman" w:hAnsi="Times New Roman"/>
          <w:b/>
          <w:sz w:val="24"/>
          <w:szCs w:val="24"/>
        </w:rPr>
        <w:t>“</w:t>
      </w:r>
      <w:r w:rsidR="00CC0661">
        <w:rPr>
          <w:rFonts w:ascii="Times New Roman" w:hAnsi="Times New Roman"/>
          <w:b/>
          <w:sz w:val="24"/>
          <w:szCs w:val="24"/>
          <w:lang w:val="sq-AL"/>
        </w:rPr>
        <w:t xml:space="preserve">Fireprep” </w:t>
      </w:r>
      <w:r w:rsidR="00CF0308" w:rsidRPr="00AF7FB7">
        <w:rPr>
          <w:rFonts w:ascii="Times New Roman" w:hAnsi="Times New Roman"/>
          <w:b/>
          <w:sz w:val="24"/>
          <w:szCs w:val="24"/>
        </w:rPr>
        <w:t>project</w:t>
      </w:r>
      <w:r w:rsidR="00CF0308" w:rsidRPr="00AF7FB7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1DE9766A" w14:textId="47B15577" w:rsidR="002B1E98" w:rsidRDefault="00CF0308" w:rsidP="002B1E98">
      <w:pPr>
        <w:rPr>
          <w:rFonts w:ascii="Times New Roman" w:hAnsi="Times New Roman"/>
          <w:sz w:val="24"/>
          <w:szCs w:val="24"/>
          <w:lang w:val="en-GB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>Publication reference:</w:t>
      </w:r>
      <w:r w:rsidR="0012387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7FB7">
        <w:rPr>
          <w:rFonts w:ascii="Times New Roman" w:hAnsi="Times New Roman"/>
          <w:sz w:val="24"/>
          <w:szCs w:val="24"/>
        </w:rPr>
        <w:t xml:space="preserve"> </w:t>
      </w:r>
      <w:bookmarkStart w:id="2" w:name="_Hlk59602689"/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Interreg IPA CBC PROGRAMME, </w:t>
      </w:r>
      <w:r w:rsidR="002B1E98">
        <w:rPr>
          <w:rFonts w:ascii="Times New Roman" w:hAnsi="Times New Roman"/>
          <w:sz w:val="24"/>
          <w:szCs w:val="24"/>
          <w:lang w:val="en-GB"/>
        </w:rPr>
        <w:t>Greece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 – Albania  2014-2020/ “</w:t>
      </w:r>
      <w:r w:rsidR="002B1E98">
        <w:rPr>
          <w:rFonts w:ascii="Times New Roman" w:hAnsi="Times New Roman"/>
          <w:sz w:val="24"/>
          <w:szCs w:val="24"/>
          <w:lang w:val="en-GB"/>
        </w:rPr>
        <w:t>Fireprep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/ Prot.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No.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4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>778</w:t>
      </w:r>
      <w:r w:rsidR="002B1E98">
        <w:rPr>
          <w:rFonts w:ascii="Times New Roman" w:hAnsi="Times New Roman"/>
          <w:sz w:val="24"/>
          <w:szCs w:val="24"/>
          <w:lang w:val="en-GB"/>
        </w:rPr>
        <w:t>, Order.No.49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,date </w:t>
      </w:r>
      <w:r w:rsidR="002B1E98">
        <w:rPr>
          <w:rFonts w:ascii="Times New Roman" w:hAnsi="Times New Roman"/>
          <w:sz w:val="24"/>
          <w:szCs w:val="24"/>
          <w:lang w:val="en-GB"/>
        </w:rPr>
        <w:t>06.10.2020</w:t>
      </w:r>
    </w:p>
    <w:bookmarkEnd w:id="2"/>
    <w:p w14:paraId="7E42E1F3" w14:textId="51FACF24" w:rsidR="00CF0308" w:rsidRPr="00AF7FB7" w:rsidRDefault="00CF0308" w:rsidP="00CF0308">
      <w:pPr>
        <w:tabs>
          <w:tab w:val="left" w:pos="7491"/>
        </w:tabs>
        <w:rPr>
          <w:rFonts w:ascii="Times New Roman" w:hAnsi="Times New Roman"/>
          <w:b/>
          <w:sz w:val="24"/>
          <w:szCs w:val="24"/>
          <w:lang w:val="en-GB"/>
        </w:rPr>
      </w:pPr>
    </w:p>
    <w:p w14:paraId="3A56FF7C" w14:textId="3B0D0BE2" w:rsidR="004F3254" w:rsidRPr="007F580B" w:rsidRDefault="004F3254" w:rsidP="004F3254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</w:p>
    <w:p w14:paraId="19ED188D" w14:textId="77777777" w:rsidR="00192C64" w:rsidRDefault="00192C64" w:rsidP="00514BE0">
      <w:pPr>
        <w:spacing w:before="240" w:after="240"/>
        <w:jc w:val="center"/>
        <w:outlineLvl w:val="0"/>
        <w:rPr>
          <w:rFonts w:ascii="Times New Roman" w:hAnsi="Times New Roman"/>
          <w:sz w:val="22"/>
          <w:lang w:val="en-GB"/>
        </w:rPr>
      </w:pPr>
    </w:p>
    <w:p w14:paraId="30D654B1" w14:textId="7E8D9DD6" w:rsidR="004D2FD8" w:rsidRPr="007B70EE" w:rsidRDefault="007A0D5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&gt;</w:t>
      </w: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6B90838C" w14:textId="1293BC6D" w:rsidR="004D2FD8" w:rsidRDefault="004D2FD8" w:rsidP="00CF0308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Pr="00B83B99">
        <w:rPr>
          <w:rFonts w:ascii="Times New Roman" w:hAnsi="Times New Roman"/>
          <w:sz w:val="22"/>
          <w:lang w:val="en-GB"/>
        </w:rPr>
        <w:t xml:space="preserve">the </w:t>
      </w:r>
      <w:r w:rsidR="00CF0308">
        <w:rPr>
          <w:rFonts w:ascii="Times New Roman" w:hAnsi="Times New Roman"/>
          <w:b/>
          <w:sz w:val="24"/>
          <w:szCs w:val="24"/>
        </w:rPr>
        <w:t xml:space="preserve">Purchase of Fire Fighting Vehicle 4x4 2.600 Liters, </w:t>
      </w:r>
    </w:p>
    <w:p w14:paraId="22137358" w14:textId="504B5BDE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Pr="00CC0661">
        <w:rPr>
          <w:rFonts w:ascii="Times New Roman" w:hAnsi="Times New Roman"/>
          <w:sz w:val="22"/>
          <w:lang w:val="en-GB"/>
        </w:rPr>
        <w:t>place of acceptance of the supplies shall be</w:t>
      </w:r>
      <w:r w:rsidR="00123874" w:rsidRPr="00CC0661">
        <w:rPr>
          <w:rFonts w:ascii="Times New Roman" w:hAnsi="Times New Roman"/>
          <w:sz w:val="22"/>
          <w:lang w:val="en-GB"/>
        </w:rPr>
        <w:t xml:space="preserve"> The Municipality of Berat </w:t>
      </w:r>
      <w:r w:rsidR="00B202BC" w:rsidRPr="00CC0661">
        <w:rPr>
          <w:rFonts w:ascii="Times New Roman" w:hAnsi="Times New Roman"/>
          <w:sz w:val="22"/>
          <w:lang w:val="en-GB"/>
        </w:rPr>
        <w:t xml:space="preserve"> </w:t>
      </w:r>
      <w:r w:rsidRPr="00CC0661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843805">
        <w:rPr>
          <w:rFonts w:ascii="Times New Roman" w:hAnsi="Times New Roman"/>
          <w:sz w:val="22"/>
          <w:lang w:val="en-GB"/>
        </w:rPr>
        <w:t>July</w:t>
      </w:r>
      <w:r w:rsidR="00123874" w:rsidRPr="00CC0661">
        <w:rPr>
          <w:rFonts w:ascii="Times New Roman" w:hAnsi="Times New Roman"/>
          <w:sz w:val="22"/>
          <w:lang w:val="en-GB"/>
        </w:rPr>
        <w:t xml:space="preserve"> 2021</w:t>
      </w:r>
      <w:r w:rsidR="00B202BC" w:rsidRPr="00CC0661">
        <w:rPr>
          <w:rFonts w:ascii="Times New Roman" w:hAnsi="Times New Roman"/>
          <w:sz w:val="22"/>
          <w:lang w:val="en-GB"/>
        </w:rPr>
        <w:t xml:space="preserve"> </w:t>
      </w:r>
      <w:r w:rsidRPr="00CC0661">
        <w:rPr>
          <w:rFonts w:ascii="Times New Roman" w:hAnsi="Times New Roman"/>
          <w:sz w:val="22"/>
          <w:lang w:val="en-GB"/>
        </w:rPr>
        <w:t>and the Incoterm</w:t>
      </w:r>
      <w:r w:rsidRPr="007B70EE">
        <w:rPr>
          <w:rFonts w:ascii="Times New Roman" w:hAnsi="Times New Roman"/>
          <w:sz w:val="22"/>
          <w:lang w:val="en-GB"/>
        </w:rPr>
        <w:t xml:space="preserve"> applicable shall </w:t>
      </w:r>
      <w:r w:rsidRPr="00A940DC">
        <w:rPr>
          <w:rFonts w:ascii="Times New Roman" w:hAnsi="Times New Roman"/>
          <w:sz w:val="22"/>
          <w:lang w:val="en-GB"/>
        </w:rPr>
        <w:t>be</w:t>
      </w:r>
      <w:r w:rsidR="00843805">
        <w:rPr>
          <w:rFonts w:ascii="Times New Roman" w:hAnsi="Times New Roman"/>
          <w:sz w:val="22"/>
          <w:lang w:val="en-GB"/>
        </w:rPr>
        <w:t xml:space="preserve"> </w:t>
      </w:r>
      <w:bookmarkStart w:id="3" w:name="_GoBack"/>
      <w:bookmarkEnd w:id="3"/>
      <w:r w:rsidR="0076436E" w:rsidRPr="005F2975">
        <w:rPr>
          <w:rFonts w:ascii="Times New Roman" w:hAnsi="Times New Roman"/>
          <w:sz w:val="22"/>
          <w:highlight w:val="lightGray"/>
          <w:lang w:val="en-GB"/>
        </w:rPr>
        <w:t>DAP</w:t>
      </w:r>
      <w:r w:rsidRPr="00A940DC">
        <w:rPr>
          <w:rFonts w:ascii="Times New Roman" w:hAnsi="Times New Roman"/>
          <w:sz w:val="22"/>
          <w:lang w:val="en-GB"/>
        </w:rPr>
        <w:t xml:space="preserve">. </w:t>
      </w:r>
    </w:p>
    <w:p w14:paraId="5F3CB695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13E98CAC" w14:textId="46CF92E5" w:rsidR="004D2FD8" w:rsidRPr="00764FC7" w:rsidRDefault="004D2FD8" w:rsidP="00D82015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32779D8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1E3CF6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715AFE08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23874">
        <w:rPr>
          <w:rFonts w:ascii="Times New Roman" w:hAnsi="Times New Roman"/>
          <w:sz w:val="22"/>
          <w:lang w:val="en-GB"/>
        </w:rPr>
        <w:t xml:space="preserve">EUR 275.000.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346D35BC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79548CE6" w14:textId="77777777" w:rsidR="007A4C4D" w:rsidRPr="00462120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following conditions to the </w:t>
      </w:r>
      <w:r w:rsidR="00531265"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ontract shall apply</w:t>
      </w:r>
      <w:r w:rsidRPr="00462120">
        <w:rPr>
          <w:rFonts w:ascii="Times New Roman" w:hAnsi="Times New Roman"/>
          <w:sz w:val="22"/>
          <w:szCs w:val="22"/>
          <w:lang w:val="en-GB"/>
        </w:rPr>
        <w:t>: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&lt;</w:t>
      </w:r>
      <w:r w:rsidR="00B202BC" w:rsidRPr="00462120">
        <w:rPr>
          <w:rFonts w:ascii="Times New Roman" w:hAnsi="Times New Roman"/>
          <w:sz w:val="22"/>
          <w:szCs w:val="22"/>
          <w:highlight w:val="yellow"/>
          <w:lang w:val="en-GB"/>
        </w:rPr>
        <w:t>specify conditions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&gt;</w:t>
      </w:r>
      <w:r w:rsidRPr="00462120">
        <w:rPr>
          <w:rFonts w:ascii="Times New Roman" w:hAnsi="Times New Roman"/>
          <w:sz w:val="22"/>
          <w:szCs w:val="22"/>
          <w:lang w:val="en-GB"/>
        </w:rPr>
        <w:t>]</w:t>
      </w:r>
    </w:p>
    <w:p w14:paraId="3BAE5209" w14:textId="67BB57EF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two</w:t>
      </w:r>
      <w:r w:rsidR="00B202BC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] [t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hree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]</w:t>
      </w:r>
      <w:r w:rsidR="00227A05" w:rsidRPr="000D4DE7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D4DE7">
        <w:rPr>
          <w:rFonts w:ascii="Times New Roman" w:hAnsi="Times New Roman"/>
          <w:sz w:val="22"/>
          <w:szCs w:val="22"/>
          <w:lang w:val="en-GB"/>
        </w:rPr>
        <w:t>originals,</w:t>
      </w:r>
      <w:r w:rsidRPr="005B03BC">
        <w:rPr>
          <w:rFonts w:ascii="Times New Roman" w:hAnsi="Times New Roman"/>
          <w:i/>
          <w:sz w:val="22"/>
          <w:lang w:val="en-GB"/>
        </w:rPr>
        <w:t xml:space="preserve">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one original being for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highlight w:val="lightGray"/>
          <w:lang w:val="en-GB"/>
        </w:rPr>
        <w:t>a</w:t>
      </w:r>
      <w:r w:rsidRPr="005F2975">
        <w:rPr>
          <w:rFonts w:ascii="Times New Roman" w:hAnsi="Times New Roman"/>
          <w:sz w:val="22"/>
          <w:highlight w:val="lightGray"/>
          <w:lang w:val="en-GB"/>
        </w:rPr>
        <w:t>uthority, one original being for the European Commission</w:t>
      </w:r>
      <w:r w:rsidRPr="005B03BC">
        <w:rPr>
          <w:rFonts w:ascii="Times New Roman" w:hAnsi="Times New Roman"/>
          <w:sz w:val="22"/>
          <w:lang w:val="en-GB"/>
        </w:rPr>
        <w:t>,</w:t>
      </w:r>
      <w:r w:rsidR="00AB4397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and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14:paraId="298DF9AA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5D6AECE3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A866" w14:textId="77777777" w:rsidR="00723CBE" w:rsidRDefault="00723CBE">
      <w:r>
        <w:separator/>
      </w:r>
    </w:p>
    <w:p w14:paraId="7AC424BF" w14:textId="77777777" w:rsidR="00723CBE" w:rsidRDefault="00723CBE"/>
  </w:endnote>
  <w:endnote w:type="continuationSeparator" w:id="0">
    <w:p w14:paraId="34D260A4" w14:textId="77777777" w:rsidR="00723CBE" w:rsidRDefault="00723CBE">
      <w:r>
        <w:continuationSeparator/>
      </w:r>
    </w:p>
    <w:p w14:paraId="05D24973" w14:textId="77777777" w:rsidR="00723CBE" w:rsidRDefault="00723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CD5D" w14:textId="791EACDB" w:rsidR="00326BE0" w:rsidRPr="0076436E" w:rsidRDefault="00326BE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843805">
      <w:rPr>
        <w:rFonts w:ascii="Times New Roman" w:hAnsi="Times New Roman"/>
        <w:noProof/>
        <w:sz w:val="18"/>
        <w:szCs w:val="18"/>
        <w:lang w:val="en-GB"/>
      </w:rPr>
      <w:t>2</w:t>
    </w:r>
    <w:r w:rsidRPr="0076436E">
      <w:rPr>
        <w:rFonts w:ascii="Times New Roman" w:hAnsi="Times New Roman"/>
        <w:sz w:val="18"/>
        <w:szCs w:val="18"/>
      </w:rPr>
      <w:fldChar w:fldCharType="end"/>
    </w:r>
    <w:r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843805">
      <w:rPr>
        <w:rFonts w:ascii="Times New Roman" w:hAnsi="Times New Roman"/>
        <w:noProof/>
        <w:sz w:val="18"/>
        <w:szCs w:val="18"/>
        <w:lang w:val="en-GB"/>
      </w:rPr>
      <w:t>4</w:t>
    </w:r>
    <w:r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501A" w14:textId="77777777" w:rsidR="00723CBE" w:rsidRDefault="00723CBE" w:rsidP="008056C4">
      <w:pPr>
        <w:spacing w:before="0" w:after="0"/>
      </w:pPr>
      <w:r>
        <w:separator/>
      </w:r>
    </w:p>
  </w:footnote>
  <w:footnote w:type="continuationSeparator" w:id="0">
    <w:p w14:paraId="5A8AED1A" w14:textId="77777777" w:rsidR="00723CBE" w:rsidRDefault="00723CBE">
      <w:r>
        <w:continuationSeparator/>
      </w:r>
    </w:p>
    <w:p w14:paraId="1EB6E10E" w14:textId="77777777" w:rsidR="00723CBE" w:rsidRDefault="00723CBE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3874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64"/>
    <w:rsid w:val="00192C73"/>
    <w:rsid w:val="001932AF"/>
    <w:rsid w:val="001937B4"/>
    <w:rsid w:val="001B1A48"/>
    <w:rsid w:val="001B5454"/>
    <w:rsid w:val="001C703D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45C09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1E98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2F7E7A"/>
    <w:rsid w:val="0031155D"/>
    <w:rsid w:val="00315611"/>
    <w:rsid w:val="00320F53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BC0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4860"/>
    <w:rsid w:val="004B740F"/>
    <w:rsid w:val="004C35B5"/>
    <w:rsid w:val="004D2FD8"/>
    <w:rsid w:val="004E14D4"/>
    <w:rsid w:val="004F325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23CBE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43805"/>
    <w:rsid w:val="008517AF"/>
    <w:rsid w:val="00853F9D"/>
    <w:rsid w:val="0085667F"/>
    <w:rsid w:val="008617F3"/>
    <w:rsid w:val="00862142"/>
    <w:rsid w:val="008808CB"/>
    <w:rsid w:val="008859E6"/>
    <w:rsid w:val="00890C4A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F8A"/>
    <w:rsid w:val="00980A42"/>
    <w:rsid w:val="009910F7"/>
    <w:rsid w:val="00995A4E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25F39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57C5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0661"/>
    <w:rsid w:val="00CC7DE2"/>
    <w:rsid w:val="00CD243E"/>
    <w:rsid w:val="00CD7F25"/>
    <w:rsid w:val="00CF0308"/>
    <w:rsid w:val="00CF33C6"/>
    <w:rsid w:val="00CF44E9"/>
    <w:rsid w:val="00CF6CFA"/>
    <w:rsid w:val="00CF6FDB"/>
    <w:rsid w:val="00D07FAD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2015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C7EE5"/>
    <w:rsid w:val="00ED4B36"/>
    <w:rsid w:val="00EE0ED9"/>
    <w:rsid w:val="00EE2E55"/>
    <w:rsid w:val="00EF01DC"/>
    <w:rsid w:val="00F02006"/>
    <w:rsid w:val="00F023B1"/>
    <w:rsid w:val="00F0574A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6985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DB37-7482-408C-93A9-CC9DFC2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2937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Windows User</cp:lastModifiedBy>
  <cp:revision>16</cp:revision>
  <cp:lastPrinted>2012-10-22T09:58:00Z</cp:lastPrinted>
  <dcterms:created xsi:type="dcterms:W3CDTF">2020-06-04T06:44:00Z</dcterms:created>
  <dcterms:modified xsi:type="dcterms:W3CDTF">2020-12-29T08:49:00Z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